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E77FD">
      <w:pPr>
        <w:pStyle w:val="2"/>
        <w:rPr>
          <w:rFonts w:hint="default" w:ascii="Times New Roman" w:hAnsi="Times New Roman" w:cs="Times New Roman"/>
        </w:rPr>
      </w:pPr>
      <w:bookmarkStart w:id="1" w:name="_GoBack"/>
      <w:bookmarkEnd w:id="1"/>
      <w:bookmarkStart w:id="0" w:name="_Toc23609"/>
      <w:r>
        <w:rPr>
          <w:rFonts w:hint="default" w:ascii="Times New Roman" w:hAnsi="Times New Roman" w:cs="Times New Roman"/>
        </w:rPr>
        <w:t>北京师范大学教育实习教案</w:t>
      </w:r>
      <w:bookmarkEnd w:id="0"/>
    </w:p>
    <w:p w14:paraId="304E5E07">
      <w:pPr>
        <w:spacing w:line="288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院/系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心理学部  </w:t>
      </w:r>
      <w:r>
        <w:rPr>
          <w:rFonts w:hint="default" w:ascii="Times New Roman" w:hAnsi="Times New Roman" w:cs="Times New Roman"/>
          <w:szCs w:val="21"/>
        </w:rPr>
        <w:t xml:space="preserve">专业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心理学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 实习生姓名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徐傲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学号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202211061033</w:t>
      </w:r>
    </w:p>
    <w:p w14:paraId="0B63378B">
      <w:pPr>
        <w:spacing w:line="288" w:lineRule="auto"/>
        <w:rPr>
          <w:rFonts w:hint="eastAsia" w:ascii="Times New Roman" w:hAnsi="Times New Roman" w:cs="Times New Roman" w:eastAsiaTheme="minorEastAsia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院系指导教师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谢明珺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实习学校指导教师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  <w:r>
        <w:rPr>
          <w:rFonts w:hint="default" w:ascii="Times New Roman" w:hAnsi="Times New Roman" w:cs="Times New Roman"/>
          <w:szCs w:val="21"/>
        </w:rPr>
        <w:t>原任课教师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</w:p>
    <w:p w14:paraId="6D089BFD">
      <w:pPr>
        <w:spacing w:line="288" w:lineRule="auto"/>
        <w:rPr>
          <w:rFonts w:hint="default" w:ascii="Times New Roman" w:hAnsi="Times New Roman" w:cs="Times New Roman"/>
          <w:szCs w:val="21"/>
          <w:u w:val="single"/>
        </w:rPr>
      </w:pP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20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25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10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22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日   </w:t>
      </w:r>
    </w:p>
    <w:p w14:paraId="11352B6D"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（本人本次实习第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1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个教案）</w:t>
      </w:r>
    </w:p>
    <w:tbl>
      <w:tblPr>
        <w:tblStyle w:val="3"/>
        <w:tblW w:w="9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88"/>
        <w:gridCol w:w="1925"/>
        <w:gridCol w:w="1315"/>
        <w:gridCol w:w="150"/>
        <w:gridCol w:w="1110"/>
        <w:gridCol w:w="356"/>
        <w:gridCol w:w="1286"/>
        <w:gridCol w:w="1779"/>
      </w:tblGrid>
      <w:tr w14:paraId="7CCD4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 w14:paraId="050F017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实习学校</w:t>
            </w:r>
          </w:p>
        </w:tc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03F844E0"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北师大二附中</w:t>
            </w:r>
          </w:p>
        </w:tc>
        <w:tc>
          <w:tcPr>
            <w:tcW w:w="14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78792B2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实习班级</w:t>
            </w:r>
          </w:p>
        </w:tc>
        <w:tc>
          <w:tcPr>
            <w:tcW w:w="14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40D02378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高一年级</w:t>
            </w:r>
          </w:p>
        </w:tc>
        <w:tc>
          <w:tcPr>
            <w:tcW w:w="12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0AF5BBA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实习科目</w:t>
            </w:r>
          </w:p>
        </w:tc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</w:tcPr>
          <w:p w14:paraId="2E80D11E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心理健康</w:t>
            </w:r>
          </w:p>
        </w:tc>
      </w:tr>
      <w:tr w14:paraId="2AD07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48" w:type="dxa"/>
            <w:gridSpan w:val="2"/>
            <w:tcBorders>
              <w:top w:val="single" w:color="auto" w:sz="8" w:space="0"/>
              <w:left w:val="nil"/>
            </w:tcBorders>
            <w:vAlign w:val="center"/>
          </w:tcPr>
          <w:p w14:paraId="47204A28"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教学课题</w:t>
            </w:r>
          </w:p>
        </w:tc>
        <w:tc>
          <w:tcPr>
            <w:tcW w:w="7921" w:type="dxa"/>
            <w:gridSpan w:val="7"/>
            <w:tcBorders>
              <w:top w:val="single" w:color="auto" w:sz="8" w:space="0"/>
              <w:right w:val="nil"/>
            </w:tcBorders>
            <w:vAlign w:val="center"/>
          </w:tcPr>
          <w:p w14:paraId="0B7C96E6"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《变态心理档案》—青春期的独特挑战</w:t>
            </w:r>
          </w:p>
        </w:tc>
      </w:tr>
      <w:tr w14:paraId="57B4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548" w:type="dxa"/>
            <w:gridSpan w:val="2"/>
            <w:tcBorders>
              <w:left w:val="nil"/>
            </w:tcBorders>
            <w:vAlign w:val="center"/>
          </w:tcPr>
          <w:p w14:paraId="32AFC93F"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所用教材</w:t>
            </w:r>
          </w:p>
        </w:tc>
        <w:tc>
          <w:tcPr>
            <w:tcW w:w="7921" w:type="dxa"/>
            <w:gridSpan w:val="7"/>
            <w:tcBorders>
              <w:right w:val="nil"/>
            </w:tcBorders>
            <w:vAlign w:val="center"/>
          </w:tcPr>
          <w:p w14:paraId="5B9E6F22">
            <w:pPr>
              <w:rPr>
                <w:rFonts w:hint="default" w:ascii="Times New Roman" w:hAnsi="Times New Roman" w:cs="Times New Roman" w:eastAsiaTheme="minorEastAsia"/>
                <w:sz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王建平，张宁，王玉龙，朱雅雯.(2018).</w:t>
            </w:r>
            <w:r>
              <w:rPr>
                <w:rStyle w:val="5"/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vertAlign w:val="baseline"/>
              </w:rPr>
              <w:t>变态心理学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(第3版).中国人民大学出版社.</w:t>
            </w:r>
          </w:p>
        </w:tc>
      </w:tr>
      <w:tr w14:paraId="35BE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1548" w:type="dxa"/>
            <w:gridSpan w:val="2"/>
            <w:tcBorders>
              <w:left w:val="nil"/>
            </w:tcBorders>
            <w:vAlign w:val="center"/>
          </w:tcPr>
          <w:p w14:paraId="3A45D995">
            <w:pPr>
              <w:spacing w:line="360" w:lineRule="auto"/>
              <w:ind w:left="-3" w:leftChars="-26" w:hanging="52" w:hangingChars="2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教学目标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 w14:paraId="2C55EC2E"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</w:rPr>
              <w:t>1、</w:t>
            </w: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 xml:space="preserve">识别青春期的一些“异常行为” </w:t>
            </w:r>
          </w:p>
          <w:p w14:paraId="47DA2743"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2、学会用健康方式应对情绪冲突和压力，减少问题行为；</w:t>
            </w:r>
          </w:p>
          <w:p w14:paraId="18333A96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lang w:val="en-US" w:eastAsia="zh-CN"/>
              </w:rPr>
              <w:t>3、理解求助的意义，消除对心理问题的污名化认知。</w:t>
            </w:r>
          </w:p>
        </w:tc>
      </w:tr>
      <w:tr w14:paraId="4812B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548" w:type="dxa"/>
            <w:gridSpan w:val="2"/>
            <w:tcBorders>
              <w:left w:val="nil"/>
            </w:tcBorders>
            <w:vAlign w:val="center"/>
          </w:tcPr>
          <w:p w14:paraId="65AE5C0C"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教学重点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 w14:paraId="04C204DD"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1</w:t>
            </w:r>
            <w:r>
              <w:rPr>
                <w:rFonts w:hint="default" w:ascii="Times New Roman" w:hAnsi="Times New Roman" w:eastAsia="楷体_GB2312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青少年心理障碍/问题的特点和识别</w:t>
            </w:r>
          </w:p>
          <w:p w14:paraId="4BCD4760"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2、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常见的内外化问题</w:t>
            </w:r>
          </w:p>
          <w:p w14:paraId="0FBFC573"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3、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一些自闭表现</w:t>
            </w:r>
          </w:p>
        </w:tc>
      </w:tr>
      <w:tr w14:paraId="5DE20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548" w:type="dxa"/>
            <w:gridSpan w:val="2"/>
            <w:tcBorders>
              <w:left w:val="nil"/>
            </w:tcBorders>
            <w:vAlign w:val="center"/>
          </w:tcPr>
          <w:p w14:paraId="00A8EF70"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教学难点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 w14:paraId="6AD16391"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容易混淆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心理障碍概念的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辨析</w:t>
            </w:r>
          </w:p>
          <w:p w14:paraId="7A365D34"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用于勇敢求助，学会理解他人</w:t>
            </w:r>
          </w:p>
        </w:tc>
      </w:tr>
      <w:tr w14:paraId="59214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48" w:type="dxa"/>
            <w:gridSpan w:val="2"/>
            <w:tcBorders>
              <w:left w:val="nil"/>
              <w:bottom w:val="single" w:color="auto" w:sz="4" w:space="0"/>
            </w:tcBorders>
            <w:vAlign w:val="center"/>
          </w:tcPr>
          <w:p w14:paraId="3BFA2C9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课时安排</w:t>
            </w:r>
          </w:p>
        </w:tc>
        <w:tc>
          <w:tcPr>
            <w:tcW w:w="3240" w:type="dxa"/>
            <w:gridSpan w:val="2"/>
            <w:tcBorders>
              <w:bottom w:val="single" w:color="auto" w:sz="4" w:space="0"/>
            </w:tcBorders>
            <w:vAlign w:val="center"/>
          </w:tcPr>
          <w:p w14:paraId="0CA2F89E"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一课时（1h）</w:t>
            </w: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 w14:paraId="25F072D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教学用具</w:t>
            </w:r>
          </w:p>
        </w:tc>
        <w:tc>
          <w:tcPr>
            <w:tcW w:w="34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vAlign w:val="center"/>
          </w:tcPr>
          <w:p w14:paraId="2844B0F6">
            <w:pPr>
              <w:spacing w:line="360" w:lineRule="auto"/>
              <w:jc w:val="left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多媒体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为主</w:t>
            </w:r>
          </w:p>
        </w:tc>
      </w:tr>
      <w:tr w14:paraId="0E0E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548" w:type="dxa"/>
            <w:gridSpan w:val="2"/>
            <w:tcBorders>
              <w:top w:val="single" w:color="auto" w:sz="4" w:space="0"/>
              <w:left w:val="nil"/>
            </w:tcBorders>
            <w:vAlign w:val="center"/>
          </w:tcPr>
          <w:p w14:paraId="52933B0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教学方法</w:t>
            </w:r>
          </w:p>
        </w:tc>
        <w:tc>
          <w:tcPr>
            <w:tcW w:w="7921" w:type="dxa"/>
            <w:gridSpan w:val="7"/>
            <w:tcBorders>
              <w:top w:val="single" w:color="auto" w:sz="4" w:space="0"/>
              <w:right w:val="nil"/>
            </w:tcBorders>
          </w:tcPr>
          <w:p w14:paraId="3B931A06"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比较教学</w:t>
            </w:r>
          </w:p>
          <w:p w14:paraId="458EA06E">
            <w:pPr>
              <w:spacing w:line="360" w:lineRule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启发式教学</w:t>
            </w:r>
          </w:p>
        </w:tc>
      </w:tr>
      <w:tr w14:paraId="463BAE4C">
        <w:tblPrEx>
          <w:tblBorders>
            <w:top w:val="single" w:color="auto" w:sz="8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4" w:hRule="atLeast"/>
          <w:jc w:val="center"/>
        </w:trPr>
        <w:tc>
          <w:tcPr>
            <w:tcW w:w="760" w:type="dxa"/>
            <w:tcBorders>
              <w:bottom w:val="single" w:color="auto" w:sz="8" w:space="0"/>
              <w:right w:val="single" w:color="auto" w:sz="12" w:space="0"/>
            </w:tcBorders>
            <w:vAlign w:val="center"/>
          </w:tcPr>
          <w:p w14:paraId="7C76FC97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</w:t>
            </w:r>
          </w:p>
          <w:p w14:paraId="6B6A3543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</w:t>
            </w:r>
          </w:p>
          <w:p w14:paraId="177E0B91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过</w:t>
            </w:r>
          </w:p>
          <w:p w14:paraId="1484995D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程</w:t>
            </w:r>
          </w:p>
          <w:p w14:paraId="7C8DC81D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</w:t>
            </w:r>
          </w:p>
          <w:p w14:paraId="51EF8628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内</w:t>
            </w:r>
          </w:p>
          <w:p w14:paraId="7BB27708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容</w:t>
            </w:r>
          </w:p>
        </w:tc>
        <w:tc>
          <w:tcPr>
            <w:tcW w:w="8709" w:type="dxa"/>
            <w:gridSpan w:val="8"/>
            <w:tcBorders>
              <w:left w:val="single" w:color="auto" w:sz="12" w:space="0"/>
              <w:bottom w:val="single" w:color="auto" w:sz="8" w:space="0"/>
            </w:tcBorders>
          </w:tcPr>
          <w:tbl>
            <w:tblPr>
              <w:tblStyle w:val="3"/>
              <w:tblW w:w="7798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49"/>
              <w:gridCol w:w="1949"/>
              <w:gridCol w:w="1949"/>
              <w:gridCol w:w="1951"/>
            </w:tblGrid>
            <w:tr w14:paraId="254CF52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8" w:hRule="atLeast"/>
              </w:trPr>
              <w:tc>
                <w:tcPr>
                  <w:tcW w:w="194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E94674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教学环节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F8E6E0A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教学内容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242EAE7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教学方法</w:t>
                  </w:r>
                </w:p>
              </w:tc>
              <w:tc>
                <w:tcPr>
                  <w:tcW w:w="195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3D756C5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教学目标</w:t>
                  </w:r>
                </w:p>
              </w:tc>
            </w:tr>
            <w:tr w14:paraId="254E2CA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1" w:hRule="atLeast"/>
              </w:trPr>
              <w:tc>
                <w:tcPr>
                  <w:tcW w:w="194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DA6332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7"/>
                      <w:rFonts w:hint="default" w:ascii="Times New Roman" w:hAnsi="Times New Roman" w:cs="Times New Roman" w:eastAsiaTheme="minorEastAsia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导入</w:t>
                  </w:r>
                  <w:r>
                    <w:rPr>
                      <w:rStyle w:val="7"/>
                      <w:rFonts w:hint="default" w:ascii="Times New Roman" w:hAnsi="Times New Roman" w:eastAsia="宋体" w:cs="Times New Roman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（1</w:t>
                  </w:r>
                  <w:r>
                    <w:rPr>
                      <w:rStyle w:val="7"/>
                      <w:rFonts w:hint="default" w:ascii="Times New Roman" w:hAnsi="Times New Roman" w:cs="Times New Roman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default" w:ascii="Times New Roman" w:hAnsi="Times New Roman" w:cs="Times New Roman" w:eastAsiaTheme="minorEastAsia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分钟）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C880D7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1.正念活动用于安静纪律，明确课堂规定。</w:t>
                  </w:r>
                  <w:r>
                    <w:rPr>
                      <w:rFonts w:hint="default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br w:type="textWrapping"/>
                  </w:r>
                  <w:r>
                    <w:rPr>
                      <w:rFonts w:hint="default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2.课堂内容导入，呈现一些案例并且结合学生实际生活情况引出课程主题：青春期问题。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EF26D1D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正念过程通通过一个视频进行引导，PPT案例展示，开放性提问引导</w:t>
                  </w:r>
                </w:p>
              </w:tc>
              <w:tc>
                <w:tcPr>
                  <w:tcW w:w="195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500DC4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创造课程分为，</w:t>
                  </w:r>
                  <w:r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激发学生学习兴趣，为课堂进一步展开铺垫</w:t>
                  </w:r>
                </w:p>
              </w:tc>
            </w:tr>
            <w:tr w14:paraId="57419E2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24" w:hRule="atLeast"/>
              </w:trPr>
              <w:tc>
                <w:tcPr>
                  <w:tcW w:w="194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048BCC4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7"/>
                      <w:rFonts w:hint="default" w:ascii="Times New Roman" w:hAnsi="Times New Roman" w:cs="Times New Roman" w:eastAsiaTheme="minorEastAsia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展开（</w:t>
                  </w:r>
                  <w:r>
                    <w:rPr>
                      <w:rStyle w:val="7"/>
                      <w:rFonts w:hint="eastAsia" w:ascii="Times New Roman" w:hAnsi="Times New Roman" w:cs="Times New Roman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default" w:ascii="Times New Roman" w:hAnsi="Times New Roman" w:cs="Times New Roman" w:eastAsiaTheme="minorEastAsia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0分钟）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F464F5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青少年常见问题的概述，简单识别青少年的异常行为，正确看待心理障碍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8D7984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从生活中的案例入手，结合个人成长经历进行案例教学</w:t>
                  </w:r>
                </w:p>
              </w:tc>
              <w:tc>
                <w:tcPr>
                  <w:tcW w:w="195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B09F13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理解青少年问题的常见性，了解青少年问题的共性与个性</w:t>
                  </w:r>
                </w:p>
              </w:tc>
            </w:tr>
            <w:tr w14:paraId="778AF24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98" w:hRule="atLeast"/>
              </w:trPr>
              <w:tc>
                <w:tcPr>
                  <w:tcW w:w="194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top"/>
                </w:tcPr>
                <w:p w14:paraId="36CEA5AB"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5B148A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了解青少难问题行为的成因和易感性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2B6FC9C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通过案例分析，让学生了解其他人的例子，同时鼓励学生主动分析</w:t>
                  </w:r>
                </w:p>
              </w:tc>
              <w:tc>
                <w:tcPr>
                  <w:tcW w:w="195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9BFC916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避青少年问题的歧视与污名化</w:t>
                  </w:r>
                </w:p>
              </w:tc>
            </w:tr>
            <w:tr w14:paraId="59C3787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49" w:hRule="atLeast"/>
              </w:trPr>
              <w:tc>
                <w:tcPr>
                  <w:tcW w:w="194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top"/>
                </w:tcPr>
                <w:p w14:paraId="32F29006"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A59206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内外化问题的简单区分，具体内容包括：焦虑，抑郁，注意缺陷，品行障碍等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528B71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以案例为主，了解焦虑和抑郁的区别与，联系，</w:t>
                  </w:r>
                </w:p>
              </w:tc>
              <w:tc>
                <w:tcPr>
                  <w:tcW w:w="195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1707835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了解青少年问题具有明确的科学定义和诊断标准，避免“标签化”</w:t>
                  </w:r>
                </w:p>
              </w:tc>
            </w:tr>
            <w:tr w14:paraId="1267393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873" w:hRule="atLeast"/>
              </w:trPr>
              <w:tc>
                <w:tcPr>
                  <w:tcW w:w="194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top"/>
                </w:tcPr>
                <w:p w14:paraId="4B1DCDFB"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BE3AE2B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青少面问题行为的常见应对方式</w:t>
                  </w:r>
                </w:p>
              </w:tc>
              <w:tc>
                <w:tcPr>
                  <w:tcW w:w="194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7B87E32">
                  <w:pPr>
                    <w:keepNext w:val="0"/>
                    <w:keepLines w:val="0"/>
                    <w:suppressLineNumbers w:val="0"/>
                    <w:bidi w:val="0"/>
                    <w:spacing w:before="0" w:beforeAutospacing="0" w:after="0" w:afterAutospacing="0"/>
                    <w:ind w:left="0" w:right="0"/>
                    <w:rPr>
                      <w:rFonts w:hint="default" w:ascii="Times New Roman" w:hAnsi="Times New Roman" w:cs="Times New Roman" w:eastAsiaTheme="minorEastAsia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结合当前社会现状给出合理建议，充分考虑学生的理解能力。尤其关注个体自身的应对措施</w:t>
                  </w:r>
                </w:p>
              </w:tc>
              <w:tc>
                <w:tcPr>
                  <w:tcW w:w="195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36FB84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鼓励学生以积极心态面对可能的风险，大胆求助</w:t>
                  </w:r>
                </w:p>
              </w:tc>
            </w:tr>
          </w:tbl>
          <w:p w14:paraId="42297E3C">
            <w:pPr>
              <w:spacing w:line="360" w:lineRule="auto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  <w:tr w14:paraId="480DE1A4">
        <w:tblPrEx>
          <w:tblBorders>
            <w:top w:val="single" w:color="auto" w:sz="8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4" w:hRule="atLeast"/>
          <w:jc w:val="center"/>
        </w:trPr>
        <w:tc>
          <w:tcPr>
            <w:tcW w:w="760" w:type="dxa"/>
            <w:tcBorders>
              <w:bottom w:val="single" w:color="auto" w:sz="8" w:space="0"/>
              <w:right w:val="single" w:color="auto" w:sz="12" w:space="0"/>
            </w:tcBorders>
            <w:vAlign w:val="center"/>
          </w:tcPr>
          <w:p w14:paraId="67AA1E21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  <w:p w14:paraId="19401183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</w:t>
            </w:r>
          </w:p>
          <w:p w14:paraId="36B66FA7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过</w:t>
            </w:r>
          </w:p>
          <w:p w14:paraId="51777F87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程</w:t>
            </w:r>
          </w:p>
          <w:p w14:paraId="7ACF1374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及</w:t>
            </w:r>
          </w:p>
          <w:p w14:paraId="396A02FC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内</w:t>
            </w:r>
          </w:p>
          <w:p w14:paraId="2C3EB350">
            <w:pPr>
              <w:spacing w:line="48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容</w:t>
            </w:r>
          </w:p>
        </w:tc>
        <w:tc>
          <w:tcPr>
            <w:tcW w:w="8709" w:type="dxa"/>
            <w:gridSpan w:val="8"/>
            <w:tcBorders>
              <w:left w:val="single" w:color="auto" w:sz="12" w:space="0"/>
              <w:bottom w:val="single" w:color="auto" w:sz="8" w:space="0"/>
            </w:tcBorders>
            <w:vAlign w:val="center"/>
          </w:tcPr>
          <w:tbl>
            <w:tblPr>
              <w:tblStyle w:val="3"/>
              <w:tblW w:w="7838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59"/>
              <w:gridCol w:w="1959"/>
              <w:gridCol w:w="1959"/>
              <w:gridCol w:w="1961"/>
            </w:tblGrid>
            <w:tr w14:paraId="01CAB39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6" w:hRule="atLeast"/>
              </w:trPr>
              <w:tc>
                <w:tcPr>
                  <w:tcW w:w="195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A89FF3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教学环节</w:t>
                  </w:r>
                </w:p>
              </w:tc>
              <w:tc>
                <w:tcPr>
                  <w:tcW w:w="195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B02C594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教学内容</w:t>
                  </w:r>
                </w:p>
              </w:tc>
              <w:tc>
                <w:tcPr>
                  <w:tcW w:w="195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C208477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教学方法</w:t>
                  </w:r>
                </w:p>
              </w:tc>
              <w:tc>
                <w:tcPr>
                  <w:tcW w:w="196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CB8A0D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6"/>
                      <w:rFonts w:hint="default" w:ascii="Times New Roman" w:hAnsi="Times New Roman" w:cs="Times New Roman" w:eastAsiaTheme="minorEastAsia"/>
                      <w:b/>
                      <w:bCs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教学目标</w:t>
                  </w:r>
                </w:p>
              </w:tc>
            </w:tr>
            <w:tr w14:paraId="14C3F70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8" w:hRule="atLeast"/>
              </w:trPr>
              <w:tc>
                <w:tcPr>
                  <w:tcW w:w="1959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A9E3D54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  <w:r>
                    <w:rPr>
                      <w:rStyle w:val="7"/>
                      <w:rFonts w:hint="eastAsia" w:ascii="Times New Roman" w:hAnsi="Times New Roman" w:eastAsia="宋体" w:cs="Times New Roman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总结</w:t>
                  </w:r>
                  <w:r>
                    <w:rPr>
                      <w:rStyle w:val="7"/>
                      <w:rFonts w:hint="default" w:ascii="Times New Roman" w:hAnsi="Times New Roman" w:eastAsia="宋体" w:cs="Times New Roman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（</w:t>
                  </w:r>
                  <w:r>
                    <w:rPr>
                      <w:rStyle w:val="7"/>
                      <w:rFonts w:hint="eastAsia" w:ascii="Times New Roman" w:hAnsi="Times New Roman" w:eastAsia="宋体" w:cs="Times New Roman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10</w:t>
                  </w:r>
                  <w:r>
                    <w:rPr>
                      <w:rStyle w:val="7"/>
                      <w:rFonts w:hint="default" w:ascii="Times New Roman" w:hAnsi="Times New Roman" w:cs="Times New Roman" w:eastAsiaTheme="minorEastAsia"/>
                      <w:color w:val="111111"/>
                      <w:kern w:val="2"/>
                      <w:sz w:val="20"/>
                      <w:szCs w:val="20"/>
                      <w:lang w:val="en-US" w:eastAsia="zh-CN" w:bidi="ar"/>
                    </w:rPr>
                    <w:t>分钟）</w:t>
                  </w:r>
                </w:p>
              </w:tc>
              <w:tc>
                <w:tcPr>
                  <w:tcW w:w="195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45729D8">
                  <w:pPr>
                    <w:keepNext w:val="0"/>
                    <w:keepLines w:val="0"/>
                    <w:widowControl/>
                    <w:numPr>
                      <w:ilvl w:val="0"/>
                      <w:numId w:val="2"/>
                    </w:numPr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回顾课堂知识，在次强调课程目标：了解知识，培养心态。</w:t>
                  </w:r>
                </w:p>
                <w:p w14:paraId="640F7243">
                  <w:pPr>
                    <w:keepNext w:val="0"/>
                    <w:keepLines w:val="0"/>
                    <w:widowControl/>
                    <w:numPr>
                      <w:ilvl w:val="0"/>
                      <w:numId w:val="2"/>
                    </w:numPr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积极鼓励学生和家长进行沟通，培养良好的家庭氛围</w:t>
                  </w:r>
                </w:p>
              </w:tc>
              <w:tc>
                <w:tcPr>
                  <w:tcW w:w="1959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F9DF9B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i w:val="0"/>
                      <w:iCs w:val="0"/>
                      <w:color w:val="111111"/>
                      <w:kern w:val="2"/>
                      <w:sz w:val="20"/>
                      <w:szCs w:val="20"/>
                      <w:lang w:val="en-US" w:eastAsia="zh-CN"/>
                    </w:rPr>
                    <w:t>提问教学法，注意问题的合理难度，同时讲古课程本身的合理性</w:t>
                  </w:r>
                </w:p>
              </w:tc>
              <w:tc>
                <w:tcPr>
                  <w:tcW w:w="1961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93683D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textAlignment w:val="center"/>
                    <w:rPr>
                      <w:rFonts w:hint="default" w:ascii="Times New Roman" w:hAnsi="Times New Roman" w:cs="Times New Roman" w:eastAsiaTheme="minorEastAsia"/>
                      <w:i w:val="0"/>
                      <w:iCs w:val="0"/>
                      <w:color w:val="111111"/>
                      <w:kern w:val="2"/>
                      <w:sz w:val="20"/>
                      <w:szCs w:val="20"/>
                    </w:rPr>
                  </w:pPr>
                </w:p>
              </w:tc>
            </w:tr>
          </w:tbl>
          <w:p w14:paraId="23E9E40A">
            <w:pPr>
              <w:spacing w:line="360" w:lineRule="auto"/>
              <w:ind w:firstLine="240" w:firstLineChars="100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33281AB8">
      <w:pPr>
        <w:jc w:val="center"/>
        <w:rPr>
          <w:rFonts w:hint="default" w:ascii="Times New Roman" w:hAnsi="Times New Roman" w:cs="Times New Roman"/>
          <w:sz w:val="24"/>
        </w:rPr>
      </w:pPr>
    </w:p>
    <w:p w14:paraId="72B1B68E">
      <w:pPr>
        <w:jc w:val="center"/>
        <w:rPr>
          <w:rFonts w:hint="default" w:ascii="Times New Roman" w:hAnsi="Times New Roman" w:cs="Times New Roman"/>
          <w:sz w:val="24"/>
        </w:rPr>
      </w:pPr>
    </w:p>
    <w:p w14:paraId="0FB08E0B">
      <w:pPr>
        <w:jc w:val="both"/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91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636"/>
        <w:gridCol w:w="7781"/>
      </w:tblGrid>
      <w:tr w14:paraId="1D84BB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8" w:hRule="atLeast"/>
          <w:jc w:val="center"/>
        </w:trPr>
        <w:tc>
          <w:tcPr>
            <w:tcW w:w="773" w:type="dxa"/>
            <w:vMerge w:val="restart"/>
            <w:tcBorders>
              <w:left w:val="nil"/>
            </w:tcBorders>
            <w:vAlign w:val="center"/>
          </w:tcPr>
          <w:p w14:paraId="36D7393B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</w:t>
            </w:r>
          </w:p>
          <w:p w14:paraId="177B0F8B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后</w:t>
            </w:r>
          </w:p>
          <w:p w14:paraId="669C3AD7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总</w:t>
            </w:r>
          </w:p>
          <w:p w14:paraId="13319AA4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结</w:t>
            </w:r>
          </w:p>
          <w:p w14:paraId="4CA31AEF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与</w:t>
            </w:r>
          </w:p>
          <w:p w14:paraId="79F2A381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3CEDD52E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议</w:t>
            </w:r>
          </w:p>
          <w:p w14:paraId="1D8C931F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纪</w:t>
            </w:r>
          </w:p>
          <w:p w14:paraId="680EA740">
            <w:pPr>
              <w:spacing w:line="480" w:lineRule="auto"/>
              <w:ind w:left="18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录</w:t>
            </w:r>
          </w:p>
        </w:tc>
        <w:tc>
          <w:tcPr>
            <w:tcW w:w="636" w:type="dxa"/>
            <w:tcBorders>
              <w:right w:val="single" w:color="auto" w:sz="8" w:space="0"/>
            </w:tcBorders>
            <w:vAlign w:val="center"/>
          </w:tcPr>
          <w:p w14:paraId="71EF18A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自</w:t>
            </w:r>
          </w:p>
          <w:p w14:paraId="2C26B08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我</w:t>
            </w:r>
          </w:p>
          <w:p w14:paraId="083C8CF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分</w:t>
            </w:r>
          </w:p>
          <w:p w14:paraId="36A3A08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析</w:t>
            </w:r>
          </w:p>
          <w:p w14:paraId="6A81638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和</w:t>
            </w:r>
          </w:p>
          <w:p w14:paraId="5C763B3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同</w:t>
            </w:r>
          </w:p>
          <w:p w14:paraId="02DC902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</w:t>
            </w:r>
          </w:p>
          <w:p w14:paraId="0B0F8F5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评</w:t>
            </w:r>
          </w:p>
          <w:p w14:paraId="153E1A1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议</w:t>
            </w:r>
          </w:p>
          <w:p w14:paraId="35F7355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意</w:t>
            </w:r>
          </w:p>
          <w:p w14:paraId="2BF47F5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见</w:t>
            </w:r>
          </w:p>
        </w:tc>
        <w:tc>
          <w:tcPr>
            <w:tcW w:w="7781" w:type="dxa"/>
            <w:tcBorders>
              <w:left w:val="single" w:color="auto" w:sz="8" w:space="0"/>
              <w:right w:val="nil"/>
            </w:tcBorders>
          </w:tcPr>
          <w:p w14:paraId="27BE49E8">
            <w:p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109ED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1" w:hRule="atLeast"/>
          <w:jc w:val="center"/>
        </w:trPr>
        <w:tc>
          <w:tcPr>
            <w:tcW w:w="773" w:type="dxa"/>
            <w:vMerge w:val="continue"/>
            <w:tcBorders>
              <w:left w:val="nil"/>
            </w:tcBorders>
            <w:textDirection w:val="tbRlV"/>
            <w:vAlign w:val="center"/>
          </w:tcPr>
          <w:p w14:paraId="196D55C4">
            <w:pPr>
              <w:ind w:left="180" w:right="113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636" w:type="dxa"/>
            <w:tcBorders>
              <w:right w:val="single" w:color="auto" w:sz="8" w:space="0"/>
            </w:tcBorders>
            <w:vAlign w:val="center"/>
          </w:tcPr>
          <w:p w14:paraId="3A2263A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</w:t>
            </w:r>
          </w:p>
          <w:p w14:paraId="485F4DD9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习</w:t>
            </w:r>
          </w:p>
          <w:p w14:paraId="677427F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</w:t>
            </w:r>
          </w:p>
          <w:p w14:paraId="100467BB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校</w:t>
            </w:r>
          </w:p>
          <w:p w14:paraId="4B6AD1C1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指</w:t>
            </w:r>
          </w:p>
          <w:p w14:paraId="6BAD75C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导</w:t>
            </w:r>
          </w:p>
          <w:p w14:paraId="6236224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</w:t>
            </w:r>
          </w:p>
          <w:p w14:paraId="5CC4A7F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师</w:t>
            </w:r>
          </w:p>
          <w:p w14:paraId="4D6110D7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意</w:t>
            </w:r>
          </w:p>
          <w:p w14:paraId="3FDA5671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见</w:t>
            </w:r>
          </w:p>
        </w:tc>
        <w:tc>
          <w:tcPr>
            <w:tcW w:w="7781" w:type="dxa"/>
            <w:tcBorders>
              <w:left w:val="single" w:color="auto" w:sz="8" w:space="0"/>
              <w:right w:val="nil"/>
            </w:tcBorders>
          </w:tcPr>
          <w:p w14:paraId="6C0F6BBE">
            <w:pPr>
              <w:spacing w:line="360" w:lineRule="auto"/>
              <w:ind w:firstLine="484" w:firstLineChars="202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</w:tr>
      <w:tr w14:paraId="353BD6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6" w:hRule="atLeast"/>
          <w:jc w:val="center"/>
        </w:trPr>
        <w:tc>
          <w:tcPr>
            <w:tcW w:w="773" w:type="dxa"/>
            <w:vMerge w:val="continue"/>
            <w:tcBorders>
              <w:left w:val="nil"/>
            </w:tcBorders>
            <w:textDirection w:val="tbRlV"/>
            <w:vAlign w:val="center"/>
          </w:tcPr>
          <w:p w14:paraId="194459A1">
            <w:pPr>
              <w:ind w:left="180" w:right="113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636" w:type="dxa"/>
            <w:tcBorders>
              <w:right w:val="single" w:color="auto" w:sz="8" w:space="0"/>
            </w:tcBorders>
            <w:vAlign w:val="center"/>
          </w:tcPr>
          <w:p w14:paraId="35509AD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院</w:t>
            </w:r>
          </w:p>
          <w:p w14:paraId="2BAAD586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系</w:t>
            </w:r>
          </w:p>
          <w:p w14:paraId="3929BFB2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指</w:t>
            </w:r>
          </w:p>
          <w:p w14:paraId="2F7046B0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导</w:t>
            </w:r>
          </w:p>
          <w:p w14:paraId="3B65B708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</w:t>
            </w:r>
          </w:p>
          <w:p w14:paraId="73275834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师</w:t>
            </w:r>
          </w:p>
          <w:p w14:paraId="12122865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意</w:t>
            </w:r>
          </w:p>
          <w:p w14:paraId="5674FB04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见</w:t>
            </w:r>
          </w:p>
        </w:tc>
        <w:tc>
          <w:tcPr>
            <w:tcW w:w="7781" w:type="dxa"/>
            <w:tcBorders>
              <w:left w:val="single" w:color="auto" w:sz="8" w:space="0"/>
              <w:right w:val="nil"/>
            </w:tcBorders>
          </w:tcPr>
          <w:p w14:paraId="11381306">
            <w:pPr>
              <w:spacing w:line="360" w:lineRule="auto"/>
              <w:ind w:left="-2" w:leftChars="-1" w:firstLine="484" w:firstLineChars="202"/>
              <w:rPr>
                <w:rFonts w:hint="default" w:ascii="Times New Roman" w:hAnsi="Times New Roman" w:eastAsia="楷体_GB2312" w:cs="Times New Roman"/>
                <w:sz w:val="24"/>
              </w:rPr>
            </w:pPr>
          </w:p>
        </w:tc>
      </w:tr>
    </w:tbl>
    <w:p w14:paraId="7327F5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altName w:val="Segoe UI Black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A406F"/>
    <w:multiLevelType w:val="multilevel"/>
    <w:tmpl w:val="0A0A406F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6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50594A0"/>
    <w:multiLevelType w:val="singleLevel"/>
    <w:tmpl w:val="450594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54339"/>
    <w:rsid w:val="19B7492C"/>
    <w:rsid w:val="2C566A2D"/>
    <w:rsid w:val="3BA54339"/>
    <w:rsid w:val="42F3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Emphasis"/>
    <w:basedOn w:val="4"/>
    <w:qFormat/>
    <w:uiPriority w:val="0"/>
    <w:rPr>
      <w:i/>
    </w:rPr>
  </w:style>
  <w:style w:type="character" w:customStyle="1" w:styleId="6">
    <w:name w:val="16"/>
    <w:basedOn w:val="4"/>
    <w:qFormat/>
    <w:uiPriority w:val="0"/>
    <w:rPr>
      <w:rFonts w:hint="default" w:ascii="Segoe UI" w:hAnsi="Segoe UI" w:eastAsia="Segoe UI" w:cs="Segoe UI"/>
      <w:b/>
      <w:bCs/>
      <w:color w:val="111111"/>
      <w:sz w:val="16"/>
      <w:szCs w:val="16"/>
    </w:rPr>
  </w:style>
  <w:style w:type="character" w:customStyle="1" w:styleId="7">
    <w:name w:val="15"/>
    <w:basedOn w:val="4"/>
    <w:qFormat/>
    <w:uiPriority w:val="0"/>
    <w:rPr>
      <w:rFonts w:hint="default" w:ascii="Segoe UI" w:hAnsi="Segoe UI" w:eastAsia="Segoe UI" w:cs="Segoe UI"/>
      <w:color w:val="111111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931</Words>
  <Characters>963</Characters>
  <Lines>0</Lines>
  <Paragraphs>0</Paragraphs>
  <TotalTime>301</TotalTime>
  <ScaleCrop>false</ScaleCrop>
  <LinksUpToDate>false</LinksUpToDate>
  <CharactersWithSpaces>1005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2025-10-12T12:57:00Z</dcterms:created>
  <dc:creator>徐傲</dc:creator>
  <cp:lastModifiedBy>徐傲</cp:lastModifiedBy>
  <dcterms:modified xsi:type="dcterms:W3CDTF">2025-10-20T06:18:47Z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7E048ED1F3AB4105B05DDF5A2E56A7CC_13</vt:lpwstr>
  </property>
  <property fmtid="{D5CDD505-2E9C-101B-9397-08002B2CF9AE}" pid="4" name="KSOTemplateDocerSaveRecord">
    <vt:lpwstr>eyJoZGlkIjoiNDQ1ZDAwYmRjNTljZmEzMjVjNDAzYjE2NjZiMGRlNzkiLCJ1c2VySWQiOiIxNjEwNDAxMTAzIn0=</vt:lpwstr>
  </property>
</Properties>
</file>