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Times New Roman" w:hAnsi="Times New Roman" w:eastAsia="黑体"/>
          <w:b/>
          <w:i w:val="0"/>
          <w:color w:val="000000"/>
          <w:sz w:val="36"/>
        </w:rPr>
        <w:t>《数学学习中符号的认知心理学》教案</w:t>
      </w:r>
    </w:p>
    <w:p>
      <w:pPr>
        <w:spacing w:after="240"/>
        <w:jc w:val="center"/>
      </w:pPr>
      <w:r>
        <w:rPr>
          <w:rFonts w:ascii="Times New Roman" w:hAnsi="Times New Roman" w:eastAsia="黑体"/>
          <w:b w:val="0"/>
          <w:i w:val="0"/>
          <w:color w:val="000000"/>
          <w:sz w:val="24"/>
        </w:rPr>
        <w:t>面向数学教育与心理学方向研究生的两课时理论课设计</w:t>
      </w:r>
    </w:p>
    <w:p>
      <w:pPr>
        <w:spacing w:before="240" w:after="120" w:line="360" w:lineRule="auto"/>
      </w:pPr>
      <w:r>
        <w:rPr>
          <w:rFonts w:ascii="Times New Roman" w:hAnsi="Times New Roman" w:eastAsia="黑体"/>
          <w:b/>
          <w:i w:val="0"/>
          <w:color w:val="000000"/>
          <w:sz w:val="30"/>
        </w:rPr>
        <w:t>一、课程基本信息</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c>
          <w:tcPr>
            <w:tcW w:type="dxa" w:w="1474"/>
          </w:tcPr>
          <w:p>
            <w:pPr>
              <w:spacing w:line="312" w:lineRule="auto"/>
              <w:jc w:val="left"/>
            </w:pPr>
            <w:r/>
            <w:r>
              <w:rPr>
                <w:rFonts w:ascii="Times New Roman" w:hAnsi="Times New Roman" w:eastAsia="宋体"/>
                <w:b w:val="0"/>
                <w:i w:val="0"/>
                <w:color w:val="000000"/>
                <w:sz w:val="21"/>
              </w:rPr>
              <w:t>课程名称</w:t>
            </w:r>
          </w:p>
        </w:tc>
        <w:tc>
          <w:tcPr>
            <w:tcW w:type="dxa" w:w="3061"/>
          </w:tcPr>
          <w:p>
            <w:pPr>
              <w:spacing w:line="312" w:lineRule="auto"/>
              <w:jc w:val="left"/>
            </w:pPr>
            <w:r/>
            <w:r>
              <w:rPr>
                <w:rFonts w:ascii="Times New Roman" w:hAnsi="Times New Roman" w:eastAsia="宋体"/>
                <w:b w:val="0"/>
                <w:i w:val="0"/>
                <w:color w:val="000000"/>
                <w:sz w:val="21"/>
              </w:rPr>
              <w:t>数学学习中符号的认知心理学</w:t>
            </w:r>
          </w:p>
        </w:tc>
        <w:tc>
          <w:tcPr>
            <w:tcW w:type="dxa" w:w="1474"/>
          </w:tcPr>
          <w:p>
            <w:pPr>
              <w:spacing w:line="312" w:lineRule="auto"/>
              <w:jc w:val="left"/>
            </w:pPr>
            <w:r/>
            <w:r>
              <w:rPr>
                <w:rFonts w:ascii="Times New Roman" w:hAnsi="Times New Roman" w:eastAsia="宋体"/>
                <w:b w:val="0"/>
                <w:i w:val="0"/>
                <w:color w:val="000000"/>
                <w:sz w:val="21"/>
              </w:rPr>
              <w:t>授课对象</w:t>
            </w:r>
          </w:p>
        </w:tc>
        <w:tc>
          <w:tcPr>
            <w:tcW w:type="dxa" w:w="3061"/>
          </w:tcPr>
          <w:p>
            <w:pPr>
              <w:spacing w:line="312" w:lineRule="auto"/>
              <w:jc w:val="left"/>
            </w:pPr>
            <w:r/>
            <w:r>
              <w:rPr>
                <w:rFonts w:ascii="Times New Roman" w:hAnsi="Times New Roman" w:eastAsia="宋体"/>
                <w:b w:val="0"/>
                <w:i w:val="0"/>
                <w:color w:val="000000"/>
                <w:sz w:val="21"/>
              </w:rPr>
              <w:t>数学教育、心理学方向研究生</w:t>
            </w:r>
          </w:p>
        </w:tc>
      </w:tr>
      <w:tr>
        <w:tc>
          <w:tcPr>
            <w:tcW w:type="dxa" w:w="1474"/>
          </w:tcPr>
          <w:p>
            <w:pPr>
              <w:spacing w:line="312" w:lineRule="auto"/>
              <w:jc w:val="left"/>
            </w:pPr>
            <w:r/>
            <w:r>
              <w:rPr>
                <w:rFonts w:ascii="Times New Roman" w:hAnsi="Times New Roman" w:eastAsia="宋体"/>
                <w:b w:val="0"/>
                <w:i w:val="0"/>
                <w:color w:val="000000"/>
                <w:sz w:val="21"/>
              </w:rPr>
              <w:t>课时安排</w:t>
            </w:r>
          </w:p>
        </w:tc>
        <w:tc>
          <w:tcPr>
            <w:tcW w:type="dxa" w:w="3061"/>
          </w:tcPr>
          <w:p>
            <w:pPr>
              <w:spacing w:line="312" w:lineRule="auto"/>
              <w:jc w:val="left"/>
            </w:pPr>
            <w:r/>
            <w:r>
              <w:rPr>
                <w:rFonts w:ascii="Times New Roman" w:hAnsi="Times New Roman" w:eastAsia="宋体"/>
                <w:b w:val="0"/>
                <w:i w:val="0"/>
                <w:color w:val="000000"/>
                <w:sz w:val="21"/>
              </w:rPr>
              <w:t>2 课时，每课时 45 分钟</w:t>
            </w:r>
          </w:p>
        </w:tc>
        <w:tc>
          <w:tcPr>
            <w:tcW w:type="dxa" w:w="1474"/>
          </w:tcPr>
          <w:p>
            <w:pPr>
              <w:spacing w:line="312" w:lineRule="auto"/>
              <w:jc w:val="left"/>
            </w:pPr>
            <w:r/>
            <w:r>
              <w:rPr>
                <w:rFonts w:ascii="Times New Roman" w:hAnsi="Times New Roman" w:eastAsia="宋体"/>
                <w:b w:val="0"/>
                <w:i w:val="0"/>
                <w:color w:val="000000"/>
                <w:sz w:val="21"/>
              </w:rPr>
              <w:t>课型</w:t>
            </w:r>
          </w:p>
        </w:tc>
        <w:tc>
          <w:tcPr>
            <w:tcW w:type="dxa" w:w="3061"/>
          </w:tcPr>
          <w:p>
            <w:pPr>
              <w:spacing w:line="312" w:lineRule="auto"/>
              <w:jc w:val="left"/>
            </w:pPr>
            <w:r/>
            <w:r>
              <w:rPr>
                <w:rFonts w:ascii="Times New Roman" w:hAnsi="Times New Roman" w:eastAsia="宋体"/>
                <w:b w:val="0"/>
                <w:i w:val="0"/>
                <w:color w:val="000000"/>
                <w:sz w:val="21"/>
              </w:rPr>
              <w:t>理论课，系统讲授</w:t>
            </w:r>
          </w:p>
        </w:tc>
      </w:tr>
      <w:tr>
        <w:tc>
          <w:tcPr>
            <w:tcW w:type="dxa" w:w="1474"/>
          </w:tcPr>
          <w:p>
            <w:pPr>
              <w:spacing w:line="312" w:lineRule="auto"/>
              <w:jc w:val="left"/>
            </w:pPr>
            <w:r/>
            <w:r>
              <w:rPr>
                <w:rFonts w:ascii="Times New Roman" w:hAnsi="Times New Roman" w:eastAsia="宋体"/>
                <w:b w:val="0"/>
                <w:i w:val="0"/>
                <w:color w:val="000000"/>
                <w:sz w:val="21"/>
              </w:rPr>
              <w:t>教学方法</w:t>
            </w:r>
          </w:p>
        </w:tc>
        <w:tc>
          <w:tcPr>
            <w:tcW w:type="dxa" w:w="3061"/>
          </w:tcPr>
          <w:p>
            <w:pPr>
              <w:spacing w:line="312" w:lineRule="auto"/>
              <w:jc w:val="left"/>
            </w:pPr>
            <w:r/>
            <w:r>
              <w:rPr>
                <w:rFonts w:ascii="Times New Roman" w:hAnsi="Times New Roman" w:eastAsia="宋体"/>
                <w:b w:val="0"/>
                <w:i w:val="0"/>
                <w:color w:val="000000"/>
                <w:sz w:val="21"/>
              </w:rPr>
              <w:t>讲授法为主，辅以课程文献研读</w:t>
            </w:r>
          </w:p>
        </w:tc>
        <w:tc>
          <w:tcPr>
            <w:tcW w:type="dxa" w:w="1474"/>
          </w:tcPr>
          <w:p>
            <w:pPr>
              <w:spacing w:line="312" w:lineRule="auto"/>
              <w:jc w:val="left"/>
            </w:pPr>
            <w:r/>
            <w:r>
              <w:rPr>
                <w:rFonts w:ascii="Times New Roman" w:hAnsi="Times New Roman" w:eastAsia="宋体"/>
                <w:b w:val="0"/>
                <w:i w:val="0"/>
                <w:color w:val="000000"/>
                <w:sz w:val="21"/>
              </w:rPr>
              <w:t>先修基础</w:t>
            </w:r>
          </w:p>
        </w:tc>
        <w:tc>
          <w:tcPr>
            <w:tcW w:type="dxa" w:w="3061"/>
          </w:tcPr>
          <w:p>
            <w:pPr>
              <w:spacing w:line="312" w:lineRule="auto"/>
              <w:jc w:val="left"/>
            </w:pPr>
            <w:r/>
            <w:r>
              <w:rPr>
                <w:rFonts w:ascii="Times New Roman" w:hAnsi="Times New Roman" w:eastAsia="宋体"/>
                <w:b w:val="0"/>
                <w:i w:val="0"/>
                <w:color w:val="000000"/>
                <w:sz w:val="21"/>
              </w:rPr>
              <w:t>认知心理学导论、数学教育概论</w:t>
            </w:r>
          </w:p>
        </w:tc>
      </w:tr>
      <w:tr>
        <w:tc>
          <w:tcPr>
            <w:tcW w:type="dxa" w:w="1474"/>
          </w:tcPr>
          <w:p>
            <w:pPr>
              <w:spacing w:line="312" w:lineRule="auto"/>
              <w:jc w:val="left"/>
            </w:pPr>
            <w:r/>
            <w:r>
              <w:rPr>
                <w:rFonts w:ascii="Times New Roman" w:hAnsi="Times New Roman" w:eastAsia="宋体"/>
                <w:b w:val="0"/>
                <w:i w:val="0"/>
                <w:color w:val="000000"/>
                <w:sz w:val="21"/>
              </w:rPr>
              <w:t>配套材料</w:t>
            </w:r>
          </w:p>
        </w:tc>
        <w:tc>
          <w:tcPr>
            <w:tcW w:type="dxa" w:w="3061"/>
          </w:tcPr>
          <w:p>
            <w:pPr>
              <w:spacing w:line="312" w:lineRule="auto"/>
              <w:jc w:val="left"/>
            </w:pPr>
            <w:r/>
            <w:r>
              <w:rPr>
                <w:rFonts w:ascii="Times New Roman" w:hAnsi="Times New Roman" w:eastAsia="宋体"/>
                <w:b w:val="0"/>
                <w:i w:val="0"/>
                <w:color w:val="000000"/>
                <w:sz w:val="21"/>
              </w:rPr>
              <w:t>第 1 讲与第 2 讲课件、课程研究综述</w:t>
            </w:r>
          </w:p>
        </w:tc>
        <w:tc>
          <w:tcPr>
            <w:tcW w:type="dxa" w:w="1474"/>
          </w:tcPr>
          <w:p>
            <w:pPr>
              <w:spacing w:line="312" w:lineRule="auto"/>
              <w:jc w:val="left"/>
            </w:pPr>
            <w:r/>
            <w:r>
              <w:rPr>
                <w:rFonts w:ascii="Times New Roman" w:hAnsi="Times New Roman" w:eastAsia="宋体"/>
                <w:b w:val="0"/>
                <w:i w:val="0"/>
                <w:color w:val="000000"/>
                <w:sz w:val="21"/>
              </w:rPr>
              <w:t>考核方式</w:t>
            </w:r>
          </w:p>
        </w:tc>
        <w:tc>
          <w:tcPr>
            <w:tcW w:type="dxa" w:w="3061"/>
          </w:tcPr>
          <w:p>
            <w:pPr>
              <w:spacing w:line="312" w:lineRule="auto"/>
              <w:jc w:val="left"/>
            </w:pPr>
            <w:r/>
            <w:r>
              <w:rPr>
                <w:rFonts w:ascii="Times New Roman" w:hAnsi="Times New Roman" w:eastAsia="宋体"/>
                <w:b w:val="0"/>
                <w:i w:val="0"/>
                <w:color w:val="000000"/>
                <w:sz w:val="21"/>
              </w:rPr>
              <w:t>学期论文，选题须基于课程文献体系</w:t>
            </w:r>
          </w:p>
        </w:tc>
      </w:tr>
    </w:tbl>
    <w:p>
      <w:pPr>
        <w:spacing w:line="360" w:lineRule="auto" w:before="0" w:after="120"/>
        <w:jc w:val="both"/>
      </w:pPr>
      <w:r>
        <w:rPr>
          <w:rFonts w:ascii="Times New Roman" w:hAnsi="Times New Roman" w:eastAsia="宋体"/>
          <w:b w:val="0"/>
          <w:i w:val="0"/>
          <w:color w:val="000000"/>
          <w:sz w:val="21"/>
        </w:rPr>
        <w:t>说明：本课程全部论点以《儿童和成人数学学习中符号的认知心理学研究综述》（2026 年 7 月，覆盖中英文文献 200 余种，含 76 篇已核验全文）为内容基准，课件各页标注文献来源，讲末附参考文献、术语表与延伸阅读。</w:t>
      </w:r>
    </w:p>
    <w:p>
      <w:pPr>
        <w:spacing w:before="240" w:after="120" w:line="360" w:lineRule="auto"/>
      </w:pPr>
      <w:r>
        <w:rPr>
          <w:rFonts w:ascii="Times New Roman" w:hAnsi="Times New Roman" w:eastAsia="黑体"/>
          <w:b/>
          <w:i w:val="0"/>
          <w:color w:val="000000"/>
          <w:sz w:val="30"/>
        </w:rPr>
        <w:t>二、课程定位与教学目标</w:t>
      </w:r>
    </w:p>
    <w:p>
      <w:pPr>
        <w:spacing w:before="160" w:after="80" w:line="360" w:lineRule="auto"/>
      </w:pPr>
      <w:r>
        <w:rPr>
          <w:rFonts w:ascii="Times New Roman" w:hAnsi="Times New Roman" w:eastAsia="黑体"/>
          <w:b/>
          <w:i w:val="0"/>
          <w:color w:val="000000"/>
          <w:sz w:val="26"/>
        </w:rPr>
        <w:t>（一）课程定位</w:t>
      </w:r>
    </w:p>
    <w:p>
      <w:pPr>
        <w:spacing w:line="360" w:lineRule="auto" w:before="0" w:after="0"/>
        <w:ind w:firstLine="480"/>
        <w:jc w:val="both"/>
      </w:pPr>
      <w:r>
        <w:rPr>
          <w:rFonts w:ascii="Times New Roman" w:hAnsi="Times New Roman" w:eastAsia="宋体"/>
          <w:b w:val="0"/>
          <w:i w:val="0"/>
          <w:color w:val="000000"/>
          <w:sz w:val="24"/>
        </w:rPr>
        <w:t>本课程是研究生层面的理论课，以数学符号为切入点，贯通认知心理学、发展心理学、认知神经科学与数学教育四个领域。课程目标不是提供教学法技巧清单，而是使学生掌握符号认知研究的理论模型、证据体系与争论地图，能够把实证研究的结论与数学教育实践置于同一分析框架中考察。</w:t>
      </w:r>
    </w:p>
    <w:p>
      <w:pPr>
        <w:spacing w:before="160" w:after="80" w:line="360" w:lineRule="auto"/>
      </w:pPr>
      <w:r>
        <w:rPr>
          <w:rFonts w:ascii="Times New Roman" w:hAnsi="Times New Roman" w:eastAsia="黑体"/>
          <w:b/>
          <w:i w:val="0"/>
          <w:color w:val="000000"/>
          <w:sz w:val="26"/>
        </w:rPr>
        <w:t>（二）教学目标</w:t>
      </w:r>
    </w:p>
    <w:p>
      <w:pPr>
        <w:spacing w:line="360" w:lineRule="auto" w:before="0" w:after="0"/>
        <w:ind w:firstLine="480"/>
        <w:jc w:val="both"/>
      </w:pPr>
      <w:r>
        <w:rPr>
          <w:rFonts w:ascii="Times New Roman" w:hAnsi="Times New Roman" w:eastAsia="宋体"/>
          <w:b/>
          <w:i w:val="0"/>
          <w:color w:val="000000"/>
          <w:sz w:val="24"/>
        </w:rPr>
        <w:t>1. 知识目标。</w:t>
      </w:r>
      <w:r>
        <w:rPr>
          <w:rFonts w:ascii="Times New Roman" w:hAnsi="Times New Roman" w:eastAsia="宋体"/>
          <w:b w:val="0"/>
          <w:i w:val="0"/>
          <w:color w:val="000000"/>
          <w:sz w:val="24"/>
        </w:rPr>
        <w:t>准确理解 Dehaene 三重编码模型、神经元回收假说、Harnad 符号接地问题、Duval 表征寄存器理论、Carey 概念发生理论与 von Aster 和 Shalev 发展模型的核心内容；熟悉各领域代表性实证研究的设计、结论与局限。</w:t>
      </w:r>
    </w:p>
    <w:p>
      <w:pPr>
        <w:spacing w:line="360" w:lineRule="auto" w:before="0" w:after="0"/>
        <w:ind w:firstLine="480"/>
        <w:jc w:val="both"/>
      </w:pPr>
      <w:r>
        <w:rPr>
          <w:rFonts w:ascii="Times New Roman" w:hAnsi="Times New Roman" w:eastAsia="宋体"/>
          <w:b/>
          <w:i w:val="0"/>
          <w:color w:val="000000"/>
          <w:sz w:val="24"/>
        </w:rPr>
        <w:t>2. 能力目标。</w:t>
      </w:r>
      <w:r>
        <w:rPr>
          <w:rFonts w:ascii="Times New Roman" w:hAnsi="Times New Roman" w:eastAsia="宋体"/>
          <w:b w:val="0"/>
          <w:i w:val="0"/>
          <w:color w:val="000000"/>
          <w:sz w:val="24"/>
        </w:rPr>
        <w:t>能够阅读并评价数值认知领域的实证文献；能够运用理论模型分析具体的符号学习现象与教学现象；能够就开放性争论（如符号意义来源）形成有实证依据的立场。</w:t>
      </w:r>
    </w:p>
    <w:p>
      <w:pPr>
        <w:spacing w:line="360" w:lineRule="auto" w:before="0" w:after="0"/>
        <w:ind w:firstLine="480"/>
        <w:jc w:val="both"/>
      </w:pPr>
      <w:r>
        <w:rPr>
          <w:rFonts w:ascii="Times New Roman" w:hAnsi="Times New Roman" w:eastAsia="宋体"/>
          <w:b/>
          <w:i w:val="0"/>
          <w:color w:val="000000"/>
          <w:sz w:val="24"/>
        </w:rPr>
        <w:t>3. 学术素养目标。</w:t>
      </w:r>
      <w:r>
        <w:rPr>
          <w:rFonts w:ascii="Times New Roman" w:hAnsi="Times New Roman" w:eastAsia="宋体"/>
          <w:b w:val="0"/>
          <w:i w:val="0"/>
          <w:color w:val="000000"/>
          <w:sz w:val="24"/>
        </w:rPr>
        <w:t>建立循证的研究意识，理解理论主张、证据等级与教学转化之间的层级关系；养成核查原始文献的学术习惯，引用结论时能区分阳性与阴性证据。</w:t>
      </w:r>
    </w:p>
    <w:p>
      <w:pPr>
        <w:spacing w:before="240" w:after="120" w:line="360" w:lineRule="auto"/>
      </w:pPr>
      <w:r>
        <w:rPr>
          <w:rFonts w:ascii="Times New Roman" w:hAnsi="Times New Roman" w:eastAsia="黑体"/>
          <w:b/>
          <w:i w:val="0"/>
          <w:color w:val="000000"/>
          <w:sz w:val="30"/>
        </w:rPr>
        <w:t>三、教学重点与难点</w:t>
      </w:r>
    </w:p>
    <w:p>
      <w:pPr>
        <w:spacing w:before="160" w:after="80" w:line="360" w:lineRule="auto"/>
      </w:pPr>
      <w:r>
        <w:rPr>
          <w:rFonts w:ascii="Times New Roman" w:hAnsi="Times New Roman" w:eastAsia="黑体"/>
          <w:b/>
          <w:i w:val="0"/>
          <w:color w:val="000000"/>
          <w:sz w:val="26"/>
        </w:rPr>
        <w:t>（一）教学重点</w:t>
      </w:r>
    </w:p>
    <w:p>
      <w:pPr>
        <w:spacing w:line="360" w:lineRule="auto" w:before="0" w:after="0"/>
        <w:ind w:firstLine="480"/>
        <w:jc w:val="both"/>
      </w:pPr>
      <w:r>
        <w:rPr>
          <w:rFonts w:ascii="Times New Roman" w:hAnsi="Times New Roman" w:eastAsia="宋体"/>
          <w:b w:val="0"/>
          <w:i w:val="0"/>
          <w:color w:val="000000"/>
          <w:sz w:val="24"/>
        </w:rPr>
        <w:t>1. Dehaene 三重编码模型与符号加工的顶叶神经基础，包括儿童 fMRI 关键证据与额顶发展转变。</w:t>
      </w:r>
    </w:p>
    <w:p>
      <w:pPr>
        <w:spacing w:line="360" w:lineRule="auto" w:before="0" w:after="0"/>
        <w:ind w:firstLine="480"/>
        <w:jc w:val="both"/>
      </w:pPr>
      <w:r>
        <w:rPr>
          <w:rFonts w:ascii="Times New Roman" w:hAnsi="Times New Roman" w:eastAsia="宋体"/>
          <w:b w:val="0"/>
          <w:i w:val="0"/>
          <w:color w:val="000000"/>
          <w:sz w:val="24"/>
        </w:rPr>
        <w:t>2. 符号接地问题及 ANS 映射假说与符号符号关联假说的证据较量。</w:t>
      </w:r>
    </w:p>
    <w:p>
      <w:pPr>
        <w:spacing w:line="360" w:lineRule="auto" w:before="0" w:after="0"/>
        <w:ind w:firstLine="480"/>
        <w:jc w:val="both"/>
      </w:pPr>
      <w:r>
        <w:rPr>
          <w:rFonts w:ascii="Times New Roman" w:hAnsi="Times New Roman" w:eastAsia="宋体"/>
          <w:b w:val="0"/>
          <w:i w:val="0"/>
          <w:color w:val="000000"/>
          <w:sz w:val="24"/>
        </w:rPr>
        <w:t>3. Duval 表征寄存器理论，转换与处理的概念区分及其对数学理解困难的解释力。</w:t>
      </w:r>
    </w:p>
    <w:p>
      <w:pPr>
        <w:spacing w:line="360" w:lineRule="auto" w:before="0" w:after="0"/>
        <w:ind w:firstLine="480"/>
        <w:jc w:val="both"/>
      </w:pPr>
      <w:r>
        <w:rPr>
          <w:rFonts w:ascii="Times New Roman" w:hAnsi="Times New Roman" w:eastAsia="宋体"/>
          <w:b w:val="0"/>
          <w:i w:val="0"/>
          <w:color w:val="000000"/>
          <w:sz w:val="24"/>
        </w:rPr>
        <w:t>4. 从非符号数量表征到符号能力的发展轨迹，符号能力作为数学成就近端预测指标的荟萃分析证据。</w:t>
      </w:r>
    </w:p>
    <w:p>
      <w:pPr>
        <w:spacing w:before="160" w:after="80" w:line="360" w:lineRule="auto"/>
      </w:pPr>
      <w:r>
        <w:rPr>
          <w:rFonts w:ascii="Times New Roman" w:hAnsi="Times New Roman" w:eastAsia="黑体"/>
          <w:b/>
          <w:i w:val="0"/>
          <w:color w:val="000000"/>
          <w:sz w:val="26"/>
        </w:rPr>
        <w:t>（二）教学难点及其处理</w:t>
      </w:r>
    </w:p>
    <w:p>
      <w:pPr>
        <w:spacing w:line="360" w:lineRule="auto" w:before="0" w:after="0"/>
        <w:ind w:firstLine="480"/>
        <w:jc w:val="both"/>
      </w:pPr>
      <w:r>
        <w:rPr>
          <w:rFonts w:ascii="Times New Roman" w:hAnsi="Times New Roman" w:eastAsia="宋体"/>
          <w:b/>
          <w:i w:val="0"/>
          <w:color w:val="000000"/>
          <w:sz w:val="24"/>
        </w:rPr>
        <w:t>1. 符号接地问题的抽象性。</w:t>
      </w:r>
      <w:r>
        <w:rPr>
          <w:rFonts w:ascii="Times New Roman" w:hAnsi="Times New Roman" w:eastAsia="宋体"/>
          <w:b w:val="0"/>
          <w:i w:val="0"/>
          <w:color w:val="000000"/>
          <w:sz w:val="24"/>
        </w:rPr>
        <w:t>学生易将符号有意义视为当然。处理方式是先以 Harnad 的汉语字典困境完成概念界定，再以对照表格呈现两种假说的主张、示例与证据处境，最后说明争论的裁决依赖何种证据，使抽象哲学问题转化为可检验的科学问题。</w:t>
      </w:r>
    </w:p>
    <w:p>
      <w:pPr>
        <w:spacing w:line="360" w:lineRule="auto" w:before="0" w:after="0"/>
        <w:ind w:firstLine="480"/>
        <w:jc w:val="both"/>
      </w:pPr>
      <w:r>
        <w:rPr>
          <w:rFonts w:ascii="Times New Roman" w:hAnsi="Times New Roman" w:eastAsia="宋体"/>
          <w:b/>
          <w:i w:val="0"/>
          <w:color w:val="000000"/>
          <w:sz w:val="24"/>
        </w:rPr>
        <w:t>2. 认知神经科学证据的解读。</w:t>
      </w:r>
      <w:r>
        <w:rPr>
          <w:rFonts w:ascii="Times New Roman" w:hAnsi="Times New Roman" w:eastAsia="宋体"/>
          <w:b w:val="0"/>
          <w:i w:val="0"/>
          <w:color w:val="000000"/>
          <w:sz w:val="24"/>
        </w:rPr>
        <w:t>学生缺少脑成像背景。处理方式是只要求结论性理解，即某证据支持什么理论命题，不深入 fMRI 技术细节；同时在课件中以表格区分研究设计、核心发现与理论含义，降低误读风险。</w:t>
      </w:r>
    </w:p>
    <w:p>
      <w:pPr>
        <w:spacing w:line="360" w:lineRule="auto" w:before="0" w:after="0"/>
        <w:ind w:firstLine="480"/>
        <w:jc w:val="both"/>
      </w:pPr>
      <w:r>
        <w:rPr>
          <w:rFonts w:ascii="Times New Roman" w:hAnsi="Times New Roman" w:eastAsia="宋体"/>
          <w:b/>
          <w:i w:val="0"/>
          <w:color w:val="000000"/>
          <w:sz w:val="24"/>
        </w:rPr>
        <w:t>3. 从理论到教学的迁移。</w:t>
      </w:r>
      <w:r>
        <w:rPr>
          <w:rFonts w:ascii="Times New Roman" w:hAnsi="Times New Roman" w:eastAsia="宋体"/>
          <w:b w:val="0"/>
          <w:i w:val="0"/>
          <w:color w:val="000000"/>
          <w:sz w:val="24"/>
        </w:rPr>
        <w:t>处理方式是延后至第 2 讲末段集中处理，此前每个理论环节均注明其教学含义的出处与边界，五条教学原则逐条标注理论与实证依据，避免原则与证据脱节的口号化倾向。</w:t>
      </w:r>
    </w:p>
    <w:p>
      <w:pPr>
        <w:spacing w:before="240" w:after="120" w:line="360" w:lineRule="auto"/>
      </w:pPr>
      <w:r>
        <w:rPr>
          <w:rFonts w:ascii="Times New Roman" w:hAnsi="Times New Roman" w:eastAsia="黑体"/>
          <w:b/>
          <w:i w:val="0"/>
          <w:color w:val="000000"/>
          <w:sz w:val="30"/>
        </w:rPr>
        <w:t>四、教学方法与课程资源</w:t>
      </w:r>
    </w:p>
    <w:p>
      <w:pPr>
        <w:spacing w:line="360" w:lineRule="auto" w:before="0" w:after="0"/>
        <w:ind w:firstLine="480"/>
        <w:jc w:val="both"/>
      </w:pPr>
      <w:r>
        <w:rPr>
          <w:rFonts w:ascii="Times New Roman" w:hAnsi="Times New Roman" w:eastAsia="宋体"/>
          <w:b/>
          <w:i w:val="0"/>
          <w:color w:val="000000"/>
          <w:sz w:val="24"/>
        </w:rPr>
        <w:t>（一）教学方法。</w:t>
      </w:r>
      <w:r>
        <w:rPr>
          <w:rFonts w:ascii="Times New Roman" w:hAnsi="Times New Roman" w:eastAsia="宋体"/>
          <w:b w:val="0"/>
          <w:i w:val="0"/>
          <w:color w:val="000000"/>
          <w:sz w:val="24"/>
        </w:rPr>
        <w:t>以系统讲授为主，讲授顺序按论证链组织，即先界定问题，再建立理论模型，继而呈现证据，最后处理争论与转化。配合课程文献研读，课前阅读课程综述的理论框架部分，课后依据课件末页的分级延伸阅读展开自学。</w:t>
      </w:r>
    </w:p>
    <w:p>
      <w:pPr>
        <w:spacing w:line="360" w:lineRule="auto" w:before="0" w:after="0"/>
        <w:ind w:firstLine="480"/>
        <w:jc w:val="both"/>
      </w:pPr>
      <w:r>
        <w:rPr>
          <w:rFonts w:ascii="Times New Roman" w:hAnsi="Times New Roman" w:eastAsia="宋体"/>
          <w:b/>
          <w:i w:val="0"/>
          <w:color w:val="000000"/>
          <w:sz w:val="24"/>
        </w:rPr>
        <w:t>（二）课程资源。</w:t>
      </w:r>
      <w:r>
        <w:rPr>
          <w:rFonts w:ascii="Times New Roman" w:hAnsi="Times New Roman" w:eastAsia="宋体"/>
          <w:b w:val="0"/>
          <w:i w:val="0"/>
          <w:color w:val="000000"/>
          <w:sz w:val="24"/>
        </w:rPr>
        <w:t>第 1 讲课件（19 页）与第 2 讲课件（24 页），每页底部标注文献来源，讲末附本讲参考文献、核心术语表与延伸阅读；课程研究综述一份，含全部引用文献的完整条目；参考文献原文存于课程文献库，按主题分卷。</w:t>
      </w:r>
    </w:p>
    <w:p>
      <w:pPr>
        <w:spacing w:before="240" w:after="120" w:line="360" w:lineRule="auto"/>
      </w:pPr>
      <w:r>
        <w:rPr>
          <w:rFonts w:ascii="Times New Roman" w:hAnsi="Times New Roman" w:eastAsia="黑体"/>
          <w:b/>
          <w:i w:val="0"/>
          <w:color w:val="000000"/>
          <w:sz w:val="30"/>
        </w:rPr>
        <w:t>五、第 1 讲教学内容与讲授逻辑：数学符号的认知本质（45 分钟）</w:t>
      </w:r>
    </w:p>
    <w:p>
      <w:pPr>
        <w:spacing w:before="160" w:after="80" w:line="360" w:lineRule="auto"/>
      </w:pPr>
      <w:r>
        <w:rPr>
          <w:rFonts w:ascii="Times New Roman" w:hAnsi="Times New Roman" w:eastAsia="黑体"/>
          <w:b/>
          <w:i w:val="0"/>
          <w:color w:val="000000"/>
          <w:sz w:val="26"/>
        </w:rPr>
        <w:t>（一）讲授主线</w:t>
      </w:r>
    </w:p>
    <w:p>
      <w:pPr>
        <w:spacing w:line="360" w:lineRule="auto" w:before="0" w:after="0"/>
        <w:ind w:firstLine="480"/>
        <w:jc w:val="both"/>
      </w:pPr>
      <w:r>
        <w:rPr>
          <w:rFonts w:ascii="Times New Roman" w:hAnsi="Times New Roman" w:eastAsia="宋体"/>
          <w:b w:val="0"/>
          <w:i w:val="0"/>
          <w:color w:val="000000"/>
          <w:sz w:val="24"/>
        </w:rPr>
        <w:t>本讲回答两个核心问题：大脑如何加工数学符号，符号如何获得意义。讲授沿四步论证链展开：首先界定符号的文化与认知双重性，其次讲授三重编码模型与神经基础，继而处理符号接地问题的两种假说之争，最后给出 Duval 寄存器理论与 Landy 知觉解释两个分析工具。</w:t>
      </w:r>
    </w:p>
    <w:p>
      <w:pPr>
        <w:spacing w:before="160" w:after="80" w:line="360" w:lineRule="auto"/>
      </w:pPr>
      <w:r>
        <w:rPr>
          <w:rFonts w:ascii="Times New Roman" w:hAnsi="Times New Roman" w:eastAsia="黑体"/>
          <w:b/>
          <w:i w:val="0"/>
          <w:color w:val="000000"/>
          <w:sz w:val="26"/>
        </w:rPr>
        <w:t>（二）环节与时间分配</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c>
          <w:tcPr>
            <w:tcW w:type="dxa" w:w="1701"/>
          </w:tcPr>
          <w:p>
            <w:pPr>
              <w:spacing w:line="312" w:lineRule="auto"/>
              <w:jc w:val="center"/>
            </w:pPr>
            <w:r/>
            <w:r>
              <w:rPr>
                <w:rFonts w:ascii="Times New Roman" w:hAnsi="Times New Roman" w:eastAsia="宋体"/>
                <w:b/>
                <w:i w:val="0"/>
                <w:color w:val="000000"/>
                <w:sz w:val="20"/>
              </w:rPr>
              <w:t>环节</w:t>
            </w:r>
          </w:p>
        </w:tc>
        <w:tc>
          <w:tcPr>
            <w:tcW w:type="dxa" w:w="964"/>
          </w:tcPr>
          <w:p>
            <w:pPr>
              <w:spacing w:line="312" w:lineRule="auto"/>
              <w:jc w:val="center"/>
            </w:pPr>
            <w:r/>
            <w:r>
              <w:rPr>
                <w:rFonts w:ascii="Times New Roman" w:hAnsi="Times New Roman" w:eastAsia="宋体"/>
                <w:b/>
                <w:i w:val="0"/>
                <w:color w:val="000000"/>
                <w:sz w:val="20"/>
              </w:rPr>
              <w:t>时间</w:t>
            </w:r>
          </w:p>
        </w:tc>
        <w:tc>
          <w:tcPr>
            <w:tcW w:type="dxa" w:w="3515"/>
          </w:tcPr>
          <w:p>
            <w:pPr>
              <w:spacing w:line="312" w:lineRule="auto"/>
              <w:jc w:val="center"/>
            </w:pPr>
            <w:r/>
            <w:r>
              <w:rPr>
                <w:rFonts w:ascii="Times New Roman" w:hAnsi="Times New Roman" w:eastAsia="宋体"/>
                <w:b/>
                <w:i w:val="0"/>
                <w:color w:val="000000"/>
                <w:sz w:val="20"/>
              </w:rPr>
              <w:t>内容要点</w:t>
            </w:r>
          </w:p>
        </w:tc>
        <w:tc>
          <w:tcPr>
            <w:tcW w:type="dxa" w:w="2891"/>
          </w:tcPr>
          <w:p>
            <w:pPr>
              <w:spacing w:line="312" w:lineRule="auto"/>
              <w:jc w:val="center"/>
            </w:pPr>
            <w:r/>
            <w:r>
              <w:rPr>
                <w:rFonts w:ascii="Times New Roman" w:hAnsi="Times New Roman" w:eastAsia="宋体"/>
                <w:b/>
                <w:i w:val="0"/>
                <w:color w:val="000000"/>
                <w:sz w:val="20"/>
              </w:rPr>
              <w:t>主要文献依据</w:t>
            </w:r>
          </w:p>
        </w:tc>
      </w:tr>
      <w:tr>
        <w:tc>
          <w:tcPr>
            <w:tcW w:type="dxa" w:w="1701"/>
          </w:tcPr>
          <w:p>
            <w:pPr>
              <w:spacing w:line="312" w:lineRule="auto"/>
              <w:jc w:val="left"/>
            </w:pPr>
            <w:r/>
            <w:r>
              <w:rPr>
                <w:rFonts w:ascii="Times New Roman" w:hAnsi="Times New Roman" w:eastAsia="宋体"/>
                <w:b w:val="0"/>
                <w:i w:val="0"/>
                <w:color w:val="000000"/>
                <w:sz w:val="20"/>
              </w:rPr>
              <w:t>导入：问题界定</w:t>
            </w:r>
          </w:p>
        </w:tc>
        <w:tc>
          <w:tcPr>
            <w:tcW w:type="dxa" w:w="964"/>
          </w:tcPr>
          <w:p>
            <w:pPr>
              <w:spacing w:line="312" w:lineRule="auto"/>
              <w:jc w:val="left"/>
            </w:pPr>
            <w:r/>
            <w:r>
              <w:rPr>
                <w:rFonts w:ascii="Times New Roman" w:hAnsi="Times New Roman" w:eastAsia="宋体"/>
                <w:b w:val="0"/>
                <w:i w:val="0"/>
                <w:color w:val="000000"/>
                <w:sz w:val="20"/>
              </w:rPr>
              <w:t>5 分钟</w:t>
            </w:r>
          </w:p>
        </w:tc>
        <w:tc>
          <w:tcPr>
            <w:tcW w:type="dxa" w:w="3515"/>
          </w:tcPr>
          <w:p>
            <w:pPr>
              <w:spacing w:line="312" w:lineRule="auto"/>
              <w:jc w:val="left"/>
            </w:pPr>
            <w:r/>
            <w:r>
              <w:rPr>
                <w:rFonts w:ascii="Times New Roman" w:hAnsi="Times New Roman" w:eastAsia="宋体"/>
                <w:b w:val="0"/>
                <w:i w:val="0"/>
                <w:color w:val="000000"/>
                <w:sz w:val="20"/>
              </w:rPr>
              <w:t>符号形态的任意性与约定性；两个核心问题的提出</w:t>
            </w:r>
          </w:p>
        </w:tc>
        <w:tc>
          <w:tcPr>
            <w:tcW w:type="dxa" w:w="2891"/>
          </w:tcPr>
          <w:p>
            <w:pPr>
              <w:spacing w:line="312" w:lineRule="auto"/>
              <w:jc w:val="left"/>
            </w:pPr>
            <w:r/>
            <w:r>
              <w:rPr>
                <w:rFonts w:ascii="Times New Roman" w:hAnsi="Times New Roman" w:eastAsia="宋体"/>
                <w:b w:val="0"/>
                <w:i w:val="0"/>
                <w:color w:val="000000"/>
                <w:sz w:val="20"/>
              </w:rPr>
              <w:t>Dehaene (1997)</w:t>
            </w:r>
          </w:p>
        </w:tc>
      </w:tr>
      <w:tr>
        <w:tc>
          <w:tcPr>
            <w:tcW w:type="dxa" w:w="1701"/>
          </w:tcPr>
          <w:p>
            <w:pPr>
              <w:spacing w:line="312" w:lineRule="auto"/>
              <w:jc w:val="left"/>
            </w:pPr>
            <w:r/>
            <w:r>
              <w:rPr>
                <w:rFonts w:ascii="Times New Roman" w:hAnsi="Times New Roman" w:eastAsia="宋体"/>
                <w:b w:val="0"/>
                <w:i w:val="0"/>
                <w:color w:val="000000"/>
                <w:sz w:val="20"/>
              </w:rPr>
              <w:t>符号的认知独特性</w:t>
            </w:r>
          </w:p>
        </w:tc>
        <w:tc>
          <w:tcPr>
            <w:tcW w:type="dxa" w:w="964"/>
          </w:tcPr>
          <w:p>
            <w:pPr>
              <w:spacing w:line="312" w:lineRule="auto"/>
              <w:jc w:val="left"/>
            </w:pPr>
            <w:r/>
            <w:r>
              <w:rPr>
                <w:rFonts w:ascii="Times New Roman" w:hAnsi="Times New Roman" w:eastAsia="宋体"/>
                <w:b w:val="0"/>
                <w:i w:val="0"/>
                <w:color w:val="000000"/>
                <w:sz w:val="20"/>
              </w:rPr>
              <w:t>5 分钟</w:t>
            </w:r>
          </w:p>
        </w:tc>
        <w:tc>
          <w:tcPr>
            <w:tcW w:type="dxa" w:w="3515"/>
          </w:tcPr>
          <w:p>
            <w:pPr>
              <w:spacing w:line="312" w:lineRule="auto"/>
              <w:jc w:val="left"/>
            </w:pPr>
            <w:r/>
            <w:r>
              <w:rPr>
                <w:rFonts w:ascii="Times New Roman" w:hAnsi="Times New Roman" w:eastAsia="宋体"/>
                <w:b w:val="0"/>
                <w:i w:val="0"/>
                <w:color w:val="000000"/>
                <w:sz w:val="20"/>
              </w:rPr>
              <w:t>双重性命题；近似数量系统及其三大特征</w:t>
            </w:r>
          </w:p>
        </w:tc>
        <w:tc>
          <w:tcPr>
            <w:tcW w:type="dxa" w:w="2891"/>
          </w:tcPr>
          <w:p>
            <w:pPr>
              <w:spacing w:line="312" w:lineRule="auto"/>
              <w:jc w:val="left"/>
            </w:pPr>
            <w:r/>
            <w:r>
              <w:rPr>
                <w:rFonts w:ascii="Times New Roman" w:hAnsi="Times New Roman" w:eastAsia="宋体"/>
                <w:b w:val="0"/>
                <w:i w:val="0"/>
                <w:color w:val="000000"/>
                <w:sz w:val="20"/>
              </w:rPr>
              <w:t>Dehaene (1992, 1997)</w:t>
            </w:r>
          </w:p>
        </w:tc>
      </w:tr>
      <w:tr>
        <w:tc>
          <w:tcPr>
            <w:tcW w:type="dxa" w:w="1701"/>
          </w:tcPr>
          <w:p>
            <w:pPr>
              <w:spacing w:line="312" w:lineRule="auto"/>
              <w:jc w:val="left"/>
            </w:pPr>
            <w:r/>
            <w:r>
              <w:rPr>
                <w:rFonts w:ascii="Times New Roman" w:hAnsi="Times New Roman" w:eastAsia="宋体"/>
                <w:b w:val="0"/>
                <w:i w:val="0"/>
                <w:color w:val="000000"/>
                <w:sz w:val="20"/>
              </w:rPr>
              <w:t>三重编码模型与神经基础</w:t>
            </w:r>
          </w:p>
        </w:tc>
        <w:tc>
          <w:tcPr>
            <w:tcW w:type="dxa" w:w="964"/>
          </w:tcPr>
          <w:p>
            <w:pPr>
              <w:spacing w:line="312" w:lineRule="auto"/>
              <w:jc w:val="left"/>
            </w:pPr>
            <w:r/>
            <w:r>
              <w:rPr>
                <w:rFonts w:ascii="Times New Roman" w:hAnsi="Times New Roman" w:eastAsia="宋体"/>
                <w:b w:val="0"/>
                <w:i w:val="0"/>
                <w:color w:val="000000"/>
                <w:sz w:val="20"/>
              </w:rPr>
              <w:t>15 分钟</w:t>
            </w:r>
          </w:p>
        </w:tc>
        <w:tc>
          <w:tcPr>
            <w:tcW w:type="dxa" w:w="3515"/>
          </w:tcPr>
          <w:p>
            <w:pPr>
              <w:spacing w:line="312" w:lineRule="auto"/>
              <w:jc w:val="left"/>
            </w:pPr>
            <w:r/>
            <w:r>
              <w:rPr>
                <w:rFonts w:ascii="Times New Roman" w:hAnsi="Times New Roman" w:eastAsia="宋体"/>
                <w:b w:val="0"/>
                <w:i w:val="0"/>
                <w:color w:val="000000"/>
                <w:sz w:val="20"/>
              </w:rPr>
              <w:t>三组件模型；神经元回收；儿童 fMRI 证据；额顶转变；抽象性之争</w:t>
            </w:r>
          </w:p>
        </w:tc>
        <w:tc>
          <w:tcPr>
            <w:tcW w:type="dxa" w:w="2891"/>
          </w:tcPr>
          <w:p>
            <w:pPr>
              <w:spacing w:line="312" w:lineRule="auto"/>
              <w:jc w:val="left"/>
            </w:pPr>
            <w:r/>
            <w:r>
              <w:rPr>
                <w:rFonts w:ascii="Times New Roman" w:hAnsi="Times New Roman" w:eastAsia="宋体"/>
                <w:b w:val="0"/>
                <w:i w:val="0"/>
                <w:color w:val="000000"/>
                <w:sz w:val="20"/>
              </w:rPr>
              <w:t>Dehaene &amp; Cohen (1995); Cantlon et al. (2006); Ansari et al. (2005)</w:t>
            </w:r>
          </w:p>
        </w:tc>
      </w:tr>
      <w:tr>
        <w:tc>
          <w:tcPr>
            <w:tcW w:type="dxa" w:w="1701"/>
          </w:tcPr>
          <w:p>
            <w:pPr>
              <w:spacing w:line="312" w:lineRule="auto"/>
              <w:jc w:val="left"/>
            </w:pPr>
            <w:r/>
            <w:r>
              <w:rPr>
                <w:rFonts w:ascii="Times New Roman" w:hAnsi="Times New Roman" w:eastAsia="宋体"/>
                <w:b w:val="0"/>
                <w:i w:val="0"/>
                <w:color w:val="000000"/>
                <w:sz w:val="20"/>
              </w:rPr>
              <w:t>符号接地问题</w:t>
            </w:r>
          </w:p>
        </w:tc>
        <w:tc>
          <w:tcPr>
            <w:tcW w:type="dxa" w:w="964"/>
          </w:tcPr>
          <w:p>
            <w:pPr>
              <w:spacing w:line="312" w:lineRule="auto"/>
              <w:jc w:val="left"/>
            </w:pPr>
            <w:r/>
            <w:r>
              <w:rPr>
                <w:rFonts w:ascii="Times New Roman" w:hAnsi="Times New Roman" w:eastAsia="宋体"/>
                <w:b w:val="0"/>
                <w:i w:val="0"/>
                <w:color w:val="000000"/>
                <w:sz w:val="20"/>
              </w:rPr>
              <w:t>12 分钟</w:t>
            </w:r>
          </w:p>
        </w:tc>
        <w:tc>
          <w:tcPr>
            <w:tcW w:type="dxa" w:w="3515"/>
          </w:tcPr>
          <w:p>
            <w:pPr>
              <w:spacing w:line="312" w:lineRule="auto"/>
              <w:jc w:val="left"/>
            </w:pPr>
            <w:r/>
            <w:r>
              <w:rPr>
                <w:rFonts w:ascii="Times New Roman" w:hAnsi="Times New Roman" w:eastAsia="宋体"/>
                <w:b w:val="0"/>
                <w:i w:val="0"/>
                <w:color w:val="000000"/>
                <w:sz w:val="20"/>
              </w:rPr>
              <w:t>Harnad 问题表述；两种假说对比与证据评价；计算视角</w:t>
            </w:r>
          </w:p>
        </w:tc>
        <w:tc>
          <w:tcPr>
            <w:tcW w:type="dxa" w:w="2891"/>
          </w:tcPr>
          <w:p>
            <w:pPr>
              <w:spacing w:line="312" w:lineRule="auto"/>
              <w:jc w:val="left"/>
            </w:pPr>
            <w:r/>
            <w:r>
              <w:rPr>
                <w:rFonts w:ascii="Times New Roman" w:hAnsi="Times New Roman" w:eastAsia="宋体"/>
                <w:b w:val="0"/>
                <w:i w:val="0"/>
                <w:color w:val="000000"/>
                <w:sz w:val="20"/>
              </w:rPr>
              <w:t>Harnad (1990); Reynvoet &amp; Sasanguie (2016)</w:t>
            </w:r>
          </w:p>
        </w:tc>
      </w:tr>
      <w:tr>
        <w:tc>
          <w:tcPr>
            <w:tcW w:type="dxa" w:w="1701"/>
          </w:tcPr>
          <w:p>
            <w:pPr>
              <w:spacing w:line="312" w:lineRule="auto"/>
              <w:jc w:val="left"/>
            </w:pPr>
            <w:r/>
            <w:r>
              <w:rPr>
                <w:rFonts w:ascii="Times New Roman" w:hAnsi="Times New Roman" w:eastAsia="宋体"/>
                <w:b w:val="0"/>
                <w:i w:val="0"/>
                <w:color w:val="000000"/>
                <w:sz w:val="20"/>
              </w:rPr>
              <w:t>分析工具</w:t>
            </w:r>
          </w:p>
        </w:tc>
        <w:tc>
          <w:tcPr>
            <w:tcW w:type="dxa" w:w="964"/>
          </w:tcPr>
          <w:p>
            <w:pPr>
              <w:spacing w:line="312" w:lineRule="auto"/>
              <w:jc w:val="left"/>
            </w:pPr>
            <w:r/>
            <w:r>
              <w:rPr>
                <w:rFonts w:ascii="Times New Roman" w:hAnsi="Times New Roman" w:eastAsia="宋体"/>
                <w:b w:val="0"/>
                <w:i w:val="0"/>
                <w:color w:val="000000"/>
                <w:sz w:val="20"/>
              </w:rPr>
              <w:t>6 分钟</w:t>
            </w:r>
          </w:p>
        </w:tc>
        <w:tc>
          <w:tcPr>
            <w:tcW w:type="dxa" w:w="3515"/>
          </w:tcPr>
          <w:p>
            <w:pPr>
              <w:spacing w:line="312" w:lineRule="auto"/>
              <w:jc w:val="left"/>
            </w:pPr>
            <w:r/>
            <w:r>
              <w:rPr>
                <w:rFonts w:ascii="Times New Roman" w:hAnsi="Times New Roman" w:eastAsia="宋体"/>
                <w:b w:val="0"/>
                <w:i w:val="0"/>
                <w:color w:val="000000"/>
                <w:sz w:val="20"/>
              </w:rPr>
              <w:t>寄存器理论：处理与转换；符号推理的知觉解释</w:t>
            </w:r>
          </w:p>
        </w:tc>
        <w:tc>
          <w:tcPr>
            <w:tcW w:type="dxa" w:w="2891"/>
          </w:tcPr>
          <w:p>
            <w:pPr>
              <w:spacing w:line="312" w:lineRule="auto"/>
              <w:jc w:val="left"/>
            </w:pPr>
            <w:r/>
            <w:r>
              <w:rPr>
                <w:rFonts w:ascii="Times New Roman" w:hAnsi="Times New Roman" w:eastAsia="宋体"/>
                <w:b w:val="0"/>
                <w:i w:val="0"/>
                <w:color w:val="000000"/>
                <w:sz w:val="20"/>
              </w:rPr>
              <w:t>Duval (2017); Landy et al. (2014)</w:t>
            </w:r>
          </w:p>
        </w:tc>
      </w:tr>
      <w:tr>
        <w:tc>
          <w:tcPr>
            <w:tcW w:type="dxa" w:w="1701"/>
          </w:tcPr>
          <w:p>
            <w:pPr>
              <w:spacing w:line="312" w:lineRule="auto"/>
              <w:jc w:val="left"/>
            </w:pPr>
            <w:r/>
            <w:r>
              <w:rPr>
                <w:rFonts w:ascii="Times New Roman" w:hAnsi="Times New Roman" w:eastAsia="宋体"/>
                <w:b w:val="0"/>
                <w:i w:val="0"/>
                <w:color w:val="000000"/>
                <w:sz w:val="20"/>
              </w:rPr>
              <w:t>小结</w:t>
            </w:r>
          </w:p>
        </w:tc>
        <w:tc>
          <w:tcPr>
            <w:tcW w:type="dxa" w:w="964"/>
          </w:tcPr>
          <w:p>
            <w:pPr>
              <w:spacing w:line="312" w:lineRule="auto"/>
              <w:jc w:val="left"/>
            </w:pPr>
            <w:r/>
            <w:r>
              <w:rPr>
                <w:rFonts w:ascii="Times New Roman" w:hAnsi="Times New Roman" w:eastAsia="宋体"/>
                <w:b w:val="0"/>
                <w:i w:val="0"/>
                <w:color w:val="000000"/>
                <w:sz w:val="20"/>
              </w:rPr>
              <w:t>2 分钟</w:t>
            </w:r>
          </w:p>
        </w:tc>
        <w:tc>
          <w:tcPr>
            <w:tcW w:type="dxa" w:w="3515"/>
          </w:tcPr>
          <w:p>
            <w:pPr>
              <w:spacing w:line="312" w:lineRule="auto"/>
              <w:jc w:val="left"/>
            </w:pPr>
            <w:r/>
            <w:r>
              <w:rPr>
                <w:rFonts w:ascii="Times New Roman" w:hAnsi="Times New Roman" w:eastAsia="宋体"/>
                <w:b w:val="0"/>
                <w:i w:val="0"/>
                <w:color w:val="000000"/>
                <w:sz w:val="20"/>
              </w:rPr>
              <w:t>六条结论；术语表与复习路径说明</w:t>
            </w:r>
          </w:p>
        </w:tc>
        <w:tc>
          <w:tcPr>
            <w:tcW w:type="dxa" w:w="2891"/>
          </w:tcPr>
          <w:p>
            <w:pPr>
              <w:spacing w:line="312" w:lineRule="auto"/>
              <w:jc w:val="left"/>
            </w:pPr>
            <w:r/>
            <w:r>
              <w:rPr>
                <w:rFonts w:ascii="Times New Roman" w:hAnsi="Times New Roman" w:eastAsia="宋体"/>
                <w:b w:val="0"/>
                <w:i w:val="0"/>
                <w:color w:val="000000"/>
                <w:sz w:val="20"/>
              </w:rPr>
              <w:t>课件小结页</w:t>
            </w:r>
          </w:p>
        </w:tc>
      </w:tr>
    </w:tbl>
    <w:p>
      <w:pPr>
        <w:spacing w:before="160" w:after="80" w:line="360" w:lineRule="auto"/>
      </w:pPr>
      <w:r>
        <w:rPr>
          <w:rFonts w:ascii="Times New Roman" w:hAnsi="Times New Roman" w:eastAsia="黑体"/>
          <w:b/>
          <w:i w:val="0"/>
          <w:color w:val="000000"/>
          <w:sz w:val="26"/>
        </w:rPr>
        <w:t>（三）内容纲要</w:t>
      </w:r>
    </w:p>
    <w:p>
      <w:pPr>
        <w:spacing w:before="120" w:after="60" w:line="360" w:lineRule="auto"/>
      </w:pPr>
      <w:r>
        <w:rPr>
          <w:rFonts w:ascii="Times New Roman" w:hAnsi="Times New Roman" w:eastAsia="黑体"/>
          <w:b/>
          <w:i w:val="0"/>
          <w:color w:val="000000"/>
          <w:sz w:val="24"/>
        </w:rPr>
        <w:t>1. 导入：问题界定（5 分钟）</w:t>
      </w:r>
    </w:p>
    <w:p>
      <w:pPr>
        <w:spacing w:line="360" w:lineRule="auto" w:before="0" w:after="0"/>
        <w:ind w:firstLine="480"/>
        <w:jc w:val="both"/>
      </w:pPr>
      <w:r>
        <w:rPr>
          <w:rFonts w:ascii="Times New Roman" w:hAnsi="Times New Roman" w:eastAsia="宋体"/>
          <w:b w:val="0"/>
          <w:i w:val="0"/>
          <w:color w:val="000000"/>
          <w:sz w:val="24"/>
        </w:rPr>
        <w:t>呈现同一数量的四种符号表征，即阿拉伯数字 3、罗马数字 III、中文数字三与玛雅点阵，引出符号形态的任意性：形态与意义的关系由文化约定，意义无法从形态直接读出，必须通过学习建立。据此提出本讲两个核心问题，其一为机制问题，大脑用什么系统加工数学符号，这些系统是先天的还是被文化改造的；其二为意义问题，符号凭什么有意义，意义来自它与数量的对应，还是来自它与其他符号的关系。同时交代本讲论证链与第 2 讲的分工。</w:t>
      </w:r>
    </w:p>
    <w:p>
      <w:pPr>
        <w:spacing w:before="120" w:after="60" w:line="360" w:lineRule="auto"/>
      </w:pPr>
      <w:r>
        <w:rPr>
          <w:rFonts w:ascii="Times New Roman" w:hAnsi="Times New Roman" w:eastAsia="黑体"/>
          <w:b/>
          <w:i w:val="0"/>
          <w:color w:val="000000"/>
          <w:sz w:val="24"/>
        </w:rPr>
        <w:t>2. 数学符号的认知独特性（5 分钟）</w:t>
      </w:r>
    </w:p>
    <w:p>
      <w:pPr>
        <w:spacing w:line="360" w:lineRule="auto" w:before="0" w:after="0"/>
        <w:ind w:firstLine="480"/>
        <w:jc w:val="both"/>
      </w:pPr>
      <w:r>
        <w:rPr>
          <w:rFonts w:ascii="Times New Roman" w:hAnsi="Times New Roman" w:eastAsia="宋体"/>
          <w:b w:val="0"/>
          <w:i w:val="0"/>
          <w:color w:val="000000"/>
          <w:sz w:val="24"/>
        </w:rPr>
        <w:t>讲授双重性命题：符号是文化共同体历史地创造的产物，其形态、规则与约定因文明而异；符号的习得又是个体神经系统建立新表征与新加工通路的认知事件，受脑结构与加工机制约束。以从认识数字 3 到理解变量 x 再到掌握积分号的跨度说明，符号学习不仅是知识累积，更是认知结构的根本重组。随后介绍近似数量系统 ANS：人类与许多动物共享的先天、近似、直觉的数量感知系统，具有近似性、符号独立性与跨物种连续性三大特征，根植于进化上古老的顶叶回路（Dehaene, 1992, 1997；Nieder &amp; Dehaene, 2009）。符号系统使人类超越 ANS 的近似与直觉，进入精确与抽象推理。</w:t>
      </w:r>
    </w:p>
    <w:p>
      <w:pPr>
        <w:spacing w:before="120" w:after="60" w:line="360" w:lineRule="auto"/>
      </w:pPr>
      <w:r>
        <w:rPr>
          <w:rFonts w:ascii="Times New Roman" w:hAnsi="Times New Roman" w:eastAsia="黑体"/>
          <w:b/>
          <w:i w:val="0"/>
          <w:color w:val="000000"/>
          <w:sz w:val="24"/>
        </w:rPr>
        <w:t>3. 三重编码模型与神经基础（15 分钟）</w:t>
      </w:r>
    </w:p>
    <w:p>
      <w:pPr>
        <w:spacing w:line="360" w:lineRule="auto" w:before="0" w:after="0"/>
        <w:ind w:firstLine="480"/>
        <w:jc w:val="both"/>
      </w:pPr>
      <w:r>
        <w:rPr>
          <w:rFonts w:ascii="Times New Roman" w:hAnsi="Times New Roman" w:eastAsia="宋体"/>
          <w:b w:val="0"/>
          <w:i w:val="0"/>
          <w:color w:val="000000"/>
          <w:sz w:val="24"/>
        </w:rPr>
        <w:t>系统讲授三重编码模型（Dehaene &amp; Cohen, 1995）：顶内沟的模拟数量编码负责非符号近似数量表征，左梭状回的视觉阿拉伯数字形式编码负责识别数字形态，左颞顶联合区的语言数字形式编码负责数字词与算术事实的言语提取；三个组件相互关联，模型预言符号数量加工的核心脑区位于顶内沟。继而讲授神经元回收假说（Dehaene, 2003）：文化发明的符号系统回收了进化上用于空间与数量直觉的顶叶回路，由此解释符号学习的神经约束并预言符号与非符号加工的重叠与竞争。</w:t>
      </w:r>
    </w:p>
    <w:p>
      <w:pPr>
        <w:spacing w:line="360" w:lineRule="auto" w:before="0" w:after="0"/>
        <w:ind w:firstLine="480"/>
        <w:jc w:val="both"/>
      </w:pPr>
      <w:r>
        <w:rPr>
          <w:rFonts w:ascii="Times New Roman" w:hAnsi="Times New Roman" w:eastAsia="宋体"/>
          <w:b w:val="0"/>
          <w:i w:val="0"/>
          <w:color w:val="000000"/>
          <w:sz w:val="24"/>
        </w:rPr>
        <w:t>证据部分按逻辑顺序组织三项研究。Cantlon 等（2006）首个 4 岁儿童认知 fMRI 研究显示，顶内沟对数值偏差的反应在儿童与成人中高度相似，数值认知的神经基础先于系统的符号经验。Ansari 等（2005）发现成人符号数量加工主要激活双侧顶叶而儿童主要激活额叶，符号加工随发展从费力控制转向自动化提取。Emerson 与 Cantlon（2015）的纵向研究进一步揭示左右顶内沟发展轨迹的分化。最后介绍理论争论：Cohen Kadosh 与 Walsh（2009）挑战数量表征的抽象性，Grabner（2009）提出专长差异解释，Czarnecka 等（2023）的盲文证据支持重叠但可分离的中间立场。讲清证据等级，只要求结论性理解。</w:t>
      </w:r>
    </w:p>
    <w:p>
      <w:pPr>
        <w:spacing w:before="120" w:after="60" w:line="360" w:lineRule="auto"/>
      </w:pPr>
      <w:r>
        <w:rPr>
          <w:rFonts w:ascii="Times New Roman" w:hAnsi="Times New Roman" w:eastAsia="黑体"/>
          <w:b/>
          <w:i w:val="0"/>
          <w:color w:val="000000"/>
          <w:sz w:val="24"/>
        </w:rPr>
        <w:t>4. 符号接地问题（12 分钟）</w:t>
      </w:r>
    </w:p>
    <w:p>
      <w:pPr>
        <w:spacing w:line="360" w:lineRule="auto" w:before="0" w:after="0"/>
        <w:ind w:firstLine="480"/>
        <w:jc w:val="both"/>
      </w:pPr>
      <w:r>
        <w:rPr>
          <w:rFonts w:ascii="Times New Roman" w:hAnsi="Times New Roman" w:eastAsia="宋体"/>
          <w:b w:val="0"/>
          <w:i w:val="0"/>
          <w:color w:val="000000"/>
          <w:sz w:val="24"/>
        </w:rPr>
        <w:t>先完成概念界定：Harnad（1990）的符号接地问题追问形式符号系统的语义如何内在于系统自身，汉语字典困境说明仅靠符号之间的相互定义无法获得意义，符号必须接地于外部世界的指称。继而以对照表呈现两种假说。ANS 映射假说主张符号通过映射到近似数量系统获得意义，符号符号关联假说主张符号经由与其他符号的系统性关系获得意义。证据评价：Reynvoet 与 Sasanguie（2016）论证支持 ANS 映射的四类论据均受质疑，符号符号关联假说获得更多证据；Dove（2015）提出三个符号去接地问题，进一步质疑抽象符号语义对感觉运动经验的依赖。补充计算视角：Taniguchi 等（2018）的符号涌现综述与 Konidaris 等（2018）从技能到符号的学习框架，把符号接地从哲学思辨推进到可构造的工程问题。强调争论尚未裁决，发展早期可能依赖 ANS 映射，专家加工更多依赖符号间关系。</w:t>
      </w:r>
    </w:p>
    <w:p>
      <w:pPr>
        <w:spacing w:before="120" w:after="60" w:line="360" w:lineRule="auto"/>
      </w:pPr>
      <w:r>
        <w:rPr>
          <w:rFonts w:ascii="Times New Roman" w:hAnsi="Times New Roman" w:eastAsia="黑体"/>
          <w:b/>
          <w:i w:val="0"/>
          <w:color w:val="000000"/>
          <w:sz w:val="24"/>
        </w:rPr>
        <w:t>5. 分析工具：寄存器与知觉解释（6 分钟）</w:t>
      </w:r>
    </w:p>
    <w:p>
      <w:pPr>
        <w:spacing w:line="360" w:lineRule="auto" w:before="0" w:after="0"/>
        <w:ind w:firstLine="480"/>
        <w:jc w:val="both"/>
      </w:pPr>
      <w:r>
        <w:rPr>
          <w:rFonts w:ascii="Times New Roman" w:hAnsi="Times New Roman" w:eastAsia="宋体"/>
          <w:b w:val="0"/>
          <w:i w:val="0"/>
          <w:color w:val="000000"/>
          <w:sz w:val="24"/>
        </w:rPr>
        <w:t>Duval（2017）寄存器理论的核心命题：数学对象无法被直接感知，只能经由半符号表征寄存器访问；数学思维的本质是寄存器内的处理与寄存器间的转换。以函数概念为例说明图形、表格、符号表达式与自然语言四种寄存器的转换需求，指出数学理解的核心障碍往往不在计算而在转换。Landy 等（2014）的知觉解释主张符号推理是受规则约束的具身知觉加工，符号的视觉排列激活知觉分组机制；Landy 等（2016）发现代数训练重新塑造视觉系统，使专家直接感知方程式的层级结构。两个工具互补，前者刻画表征结构，后者刻画加工机制。</w:t>
      </w:r>
    </w:p>
    <w:p>
      <w:pPr>
        <w:spacing w:before="120" w:after="60" w:line="360" w:lineRule="auto"/>
      </w:pPr>
      <w:r>
        <w:rPr>
          <w:rFonts w:ascii="Times New Roman" w:hAnsi="Times New Roman" w:eastAsia="黑体"/>
          <w:b/>
          <w:i w:val="0"/>
          <w:color w:val="000000"/>
          <w:sz w:val="24"/>
        </w:rPr>
        <w:t>6. 小结（2 分钟）</w:t>
      </w:r>
    </w:p>
    <w:p>
      <w:pPr>
        <w:spacing w:line="360" w:lineRule="auto" w:before="0" w:after="0"/>
        <w:ind w:firstLine="480"/>
        <w:jc w:val="both"/>
      </w:pPr>
      <w:r>
        <w:rPr>
          <w:rFonts w:ascii="Times New Roman" w:hAnsi="Times New Roman" w:eastAsia="宋体"/>
          <w:b w:val="0"/>
          <w:i w:val="0"/>
          <w:color w:val="000000"/>
          <w:sz w:val="24"/>
        </w:rPr>
        <w:t>按课件小结页回顾六条结论：双重性定位、ANS 的进化基础、三重编码模型、神经证据的发展主线、接地假说之争、两个分析工具。提示学生利用课件末的术语表、参考文献与延伸阅读页进行课后复习。</w:t>
      </w:r>
    </w:p>
    <w:p>
      <w:pPr>
        <w:spacing w:before="240" w:after="120" w:line="360" w:lineRule="auto"/>
      </w:pPr>
      <w:r>
        <w:rPr>
          <w:rFonts w:ascii="Times New Roman" w:hAnsi="Times New Roman" w:eastAsia="黑体"/>
          <w:b/>
          <w:i w:val="0"/>
          <w:color w:val="000000"/>
          <w:sz w:val="30"/>
        </w:rPr>
        <w:t>六、第 2 讲教学内容与讲授逻辑：数学符号的发展、文化与教学（45 分钟）</w:t>
      </w:r>
    </w:p>
    <w:p>
      <w:pPr>
        <w:spacing w:before="160" w:after="80" w:line="360" w:lineRule="auto"/>
      </w:pPr>
      <w:r>
        <w:rPr>
          <w:rFonts w:ascii="Times New Roman" w:hAnsi="Times New Roman" w:eastAsia="黑体"/>
          <w:b/>
          <w:i w:val="0"/>
          <w:color w:val="000000"/>
          <w:sz w:val="26"/>
        </w:rPr>
        <w:t>（一）讲授主线</w:t>
      </w:r>
    </w:p>
    <w:p>
      <w:pPr>
        <w:spacing w:line="360" w:lineRule="auto" w:before="0" w:after="0"/>
        <w:ind w:firstLine="480"/>
        <w:jc w:val="both"/>
      </w:pPr>
      <w:r>
        <w:rPr>
          <w:rFonts w:ascii="Times New Roman" w:hAnsi="Times New Roman" w:eastAsia="宋体"/>
          <w:b w:val="0"/>
          <w:i w:val="0"/>
          <w:color w:val="000000"/>
          <w:sz w:val="24"/>
        </w:rPr>
        <w:t>本讲在第 1 讲的机制与意义框架上展开五个议题：符号能力在个体发展中如何长成，身体经验如何支撑符号，语言与记数系统如何塑造符号认知，符号加工障碍如何发生，研究证据如何转化为教学原则。统一命题是：数学符号为文化发明与神经认知相互塑造的产物。</w:t>
      </w:r>
    </w:p>
    <w:p>
      <w:pPr>
        <w:spacing w:before="160" w:after="80" w:line="360" w:lineRule="auto"/>
      </w:pPr>
      <w:r>
        <w:rPr>
          <w:rFonts w:ascii="Times New Roman" w:hAnsi="Times New Roman" w:eastAsia="黑体"/>
          <w:b/>
          <w:i w:val="0"/>
          <w:color w:val="000000"/>
          <w:sz w:val="26"/>
        </w:rPr>
        <w:t>（二）环节与时间分配</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c>
          <w:tcPr>
            <w:tcW w:type="dxa" w:w="1701"/>
          </w:tcPr>
          <w:p>
            <w:pPr>
              <w:spacing w:line="312" w:lineRule="auto"/>
              <w:jc w:val="center"/>
            </w:pPr>
            <w:r/>
            <w:r>
              <w:rPr>
                <w:rFonts w:ascii="Times New Roman" w:hAnsi="Times New Roman" w:eastAsia="宋体"/>
                <w:b/>
                <w:i w:val="0"/>
                <w:color w:val="000000"/>
                <w:sz w:val="20"/>
              </w:rPr>
              <w:t>环节</w:t>
            </w:r>
          </w:p>
        </w:tc>
        <w:tc>
          <w:tcPr>
            <w:tcW w:type="dxa" w:w="964"/>
          </w:tcPr>
          <w:p>
            <w:pPr>
              <w:spacing w:line="312" w:lineRule="auto"/>
              <w:jc w:val="center"/>
            </w:pPr>
            <w:r/>
            <w:r>
              <w:rPr>
                <w:rFonts w:ascii="Times New Roman" w:hAnsi="Times New Roman" w:eastAsia="宋体"/>
                <w:b/>
                <w:i w:val="0"/>
                <w:color w:val="000000"/>
                <w:sz w:val="20"/>
              </w:rPr>
              <w:t>时间</w:t>
            </w:r>
          </w:p>
        </w:tc>
        <w:tc>
          <w:tcPr>
            <w:tcW w:type="dxa" w:w="3515"/>
          </w:tcPr>
          <w:p>
            <w:pPr>
              <w:spacing w:line="312" w:lineRule="auto"/>
              <w:jc w:val="center"/>
            </w:pPr>
            <w:r/>
            <w:r>
              <w:rPr>
                <w:rFonts w:ascii="Times New Roman" w:hAnsi="Times New Roman" w:eastAsia="宋体"/>
                <w:b/>
                <w:i w:val="0"/>
                <w:color w:val="000000"/>
                <w:sz w:val="20"/>
              </w:rPr>
              <w:t>内容要点</w:t>
            </w:r>
          </w:p>
        </w:tc>
        <w:tc>
          <w:tcPr>
            <w:tcW w:type="dxa" w:w="2891"/>
          </w:tcPr>
          <w:p>
            <w:pPr>
              <w:spacing w:line="312" w:lineRule="auto"/>
              <w:jc w:val="center"/>
            </w:pPr>
            <w:r/>
            <w:r>
              <w:rPr>
                <w:rFonts w:ascii="Times New Roman" w:hAnsi="Times New Roman" w:eastAsia="宋体"/>
                <w:b/>
                <w:i w:val="0"/>
                <w:color w:val="000000"/>
                <w:sz w:val="20"/>
              </w:rPr>
              <w:t>主要文献依据</w:t>
            </w:r>
          </w:p>
        </w:tc>
      </w:tr>
      <w:tr>
        <w:tc>
          <w:tcPr>
            <w:tcW w:type="dxa" w:w="1701"/>
          </w:tcPr>
          <w:p>
            <w:pPr>
              <w:spacing w:line="312" w:lineRule="auto"/>
              <w:jc w:val="left"/>
            </w:pPr>
            <w:r/>
            <w:r>
              <w:rPr>
                <w:rFonts w:ascii="Times New Roman" w:hAnsi="Times New Roman" w:eastAsia="宋体"/>
                <w:b w:val="0"/>
                <w:i w:val="0"/>
                <w:color w:val="000000"/>
                <w:sz w:val="20"/>
              </w:rPr>
              <w:t>发展轨迹</w:t>
            </w:r>
          </w:p>
        </w:tc>
        <w:tc>
          <w:tcPr>
            <w:tcW w:type="dxa" w:w="964"/>
          </w:tcPr>
          <w:p>
            <w:pPr>
              <w:spacing w:line="312" w:lineRule="auto"/>
              <w:jc w:val="left"/>
            </w:pPr>
            <w:r/>
            <w:r>
              <w:rPr>
                <w:rFonts w:ascii="Times New Roman" w:hAnsi="Times New Roman" w:eastAsia="宋体"/>
                <w:b w:val="0"/>
                <w:i w:val="0"/>
                <w:color w:val="000000"/>
                <w:sz w:val="20"/>
              </w:rPr>
              <w:t>12 分钟</w:t>
            </w:r>
          </w:p>
        </w:tc>
        <w:tc>
          <w:tcPr>
            <w:tcW w:type="dxa" w:w="3515"/>
          </w:tcPr>
          <w:p>
            <w:pPr>
              <w:spacing w:line="312" w:lineRule="auto"/>
              <w:jc w:val="left"/>
            </w:pPr>
            <w:r/>
            <w:r>
              <w:rPr>
                <w:rFonts w:ascii="Times New Roman" w:hAnsi="Times New Roman" w:eastAsia="宋体"/>
                <w:b w:val="0"/>
                <w:i w:val="0"/>
                <w:color w:val="000000"/>
                <w:sz w:val="20"/>
              </w:rPr>
              <w:t>四步发展模型；概念发生与基数原则；自动化；荟萃分析；交互专门化</w:t>
            </w:r>
          </w:p>
        </w:tc>
        <w:tc>
          <w:tcPr>
            <w:tcW w:type="dxa" w:w="2891"/>
          </w:tcPr>
          <w:p>
            <w:pPr>
              <w:spacing w:line="312" w:lineRule="auto"/>
              <w:jc w:val="left"/>
            </w:pPr>
            <w:r/>
            <w:r>
              <w:rPr>
                <w:rFonts w:ascii="Times New Roman" w:hAnsi="Times New Roman" w:eastAsia="宋体"/>
                <w:b w:val="0"/>
                <w:i w:val="0"/>
                <w:color w:val="000000"/>
                <w:sz w:val="20"/>
              </w:rPr>
              <w:t>von Aster &amp; Shalev (2007); Carey (2009); Schneider et al. (2017)</w:t>
            </w:r>
          </w:p>
        </w:tc>
      </w:tr>
      <w:tr>
        <w:tc>
          <w:tcPr>
            <w:tcW w:type="dxa" w:w="1701"/>
          </w:tcPr>
          <w:p>
            <w:pPr>
              <w:spacing w:line="312" w:lineRule="auto"/>
              <w:jc w:val="left"/>
            </w:pPr>
            <w:r/>
            <w:r>
              <w:rPr>
                <w:rFonts w:ascii="Times New Roman" w:hAnsi="Times New Roman" w:eastAsia="宋体"/>
                <w:b w:val="0"/>
                <w:i w:val="0"/>
                <w:color w:val="000000"/>
                <w:sz w:val="20"/>
              </w:rPr>
              <w:t>具身机制</w:t>
            </w:r>
          </w:p>
        </w:tc>
        <w:tc>
          <w:tcPr>
            <w:tcW w:type="dxa" w:w="964"/>
          </w:tcPr>
          <w:p>
            <w:pPr>
              <w:spacing w:line="312" w:lineRule="auto"/>
              <w:jc w:val="left"/>
            </w:pPr>
            <w:r/>
            <w:r>
              <w:rPr>
                <w:rFonts w:ascii="Times New Roman" w:hAnsi="Times New Roman" w:eastAsia="宋体"/>
                <w:b w:val="0"/>
                <w:i w:val="0"/>
                <w:color w:val="000000"/>
                <w:sz w:val="20"/>
              </w:rPr>
              <w:t>10 分钟</w:t>
            </w:r>
          </w:p>
        </w:tc>
        <w:tc>
          <w:tcPr>
            <w:tcW w:type="dxa" w:w="3515"/>
          </w:tcPr>
          <w:p>
            <w:pPr>
              <w:spacing w:line="312" w:lineRule="auto"/>
              <w:jc w:val="left"/>
            </w:pPr>
            <w:r/>
            <w:r>
              <w:rPr>
                <w:rFonts w:ascii="Times New Roman" w:hAnsi="Times New Roman" w:eastAsia="宋体"/>
                <w:b w:val="0"/>
                <w:i w:val="0"/>
                <w:color w:val="000000"/>
                <w:sz w:val="20"/>
              </w:rPr>
              <w:t>具身数学观；手指与手势证据；具身设计；珠心算双向证据</w:t>
            </w:r>
          </w:p>
        </w:tc>
        <w:tc>
          <w:tcPr>
            <w:tcW w:type="dxa" w:w="2891"/>
          </w:tcPr>
          <w:p>
            <w:pPr>
              <w:spacing w:line="312" w:lineRule="auto"/>
              <w:jc w:val="left"/>
            </w:pPr>
            <w:r/>
            <w:r>
              <w:rPr>
                <w:rFonts w:ascii="Times New Roman" w:hAnsi="Times New Roman" w:eastAsia="宋体"/>
                <w:b w:val="0"/>
                <w:i w:val="0"/>
                <w:color w:val="000000"/>
                <w:sz w:val="20"/>
              </w:rPr>
              <w:t>Lakoff &amp; Núñez (2000); Soylu &amp; Newman (2018); Abrahamson et al. (2020)</w:t>
            </w:r>
          </w:p>
        </w:tc>
      </w:tr>
      <w:tr>
        <w:tc>
          <w:tcPr>
            <w:tcW w:type="dxa" w:w="1701"/>
          </w:tcPr>
          <w:p>
            <w:pPr>
              <w:spacing w:line="312" w:lineRule="auto"/>
              <w:jc w:val="left"/>
            </w:pPr>
            <w:r/>
            <w:r>
              <w:rPr>
                <w:rFonts w:ascii="Times New Roman" w:hAnsi="Times New Roman" w:eastAsia="宋体"/>
                <w:b w:val="0"/>
                <w:i w:val="0"/>
                <w:color w:val="000000"/>
                <w:sz w:val="20"/>
              </w:rPr>
              <w:t>文化维度</w:t>
            </w:r>
          </w:p>
        </w:tc>
        <w:tc>
          <w:tcPr>
            <w:tcW w:type="dxa" w:w="964"/>
          </w:tcPr>
          <w:p>
            <w:pPr>
              <w:spacing w:line="312" w:lineRule="auto"/>
              <w:jc w:val="left"/>
            </w:pPr>
            <w:r/>
            <w:r>
              <w:rPr>
                <w:rFonts w:ascii="Times New Roman" w:hAnsi="Times New Roman" w:eastAsia="宋体"/>
                <w:b w:val="0"/>
                <w:i w:val="0"/>
                <w:color w:val="000000"/>
                <w:sz w:val="20"/>
              </w:rPr>
              <w:t>10 分钟</w:t>
            </w:r>
          </w:p>
        </w:tc>
        <w:tc>
          <w:tcPr>
            <w:tcW w:type="dxa" w:w="3515"/>
          </w:tcPr>
          <w:p>
            <w:pPr>
              <w:spacing w:line="312" w:lineRule="auto"/>
              <w:jc w:val="left"/>
            </w:pPr>
            <w:r/>
            <w:r>
              <w:rPr>
                <w:rFonts w:ascii="Times New Roman" w:hAnsi="Times New Roman" w:eastAsia="宋体"/>
                <w:b w:val="0"/>
                <w:i w:val="0"/>
                <w:color w:val="000000"/>
                <w:sz w:val="20"/>
              </w:rPr>
              <w:t>中文数词优势；SNARC 文化变异；Piraha 语；记数系统；符号史</w:t>
            </w:r>
          </w:p>
        </w:tc>
        <w:tc>
          <w:tcPr>
            <w:tcW w:type="dxa" w:w="2891"/>
          </w:tcPr>
          <w:p>
            <w:pPr>
              <w:spacing w:line="312" w:lineRule="auto"/>
              <w:jc w:val="left"/>
            </w:pPr>
            <w:r/>
            <w:r>
              <w:rPr>
                <w:rFonts w:ascii="Times New Roman" w:hAnsi="Times New Roman" w:eastAsia="宋体"/>
                <w:b w:val="0"/>
                <w:i w:val="0"/>
                <w:color w:val="000000"/>
                <w:sz w:val="20"/>
              </w:rPr>
              <w:t>Miura et al. (1988); Everett (2005); Bender &amp; Beller (2018)</w:t>
            </w:r>
          </w:p>
        </w:tc>
      </w:tr>
      <w:tr>
        <w:tc>
          <w:tcPr>
            <w:tcW w:type="dxa" w:w="1701"/>
          </w:tcPr>
          <w:p>
            <w:pPr>
              <w:spacing w:line="312" w:lineRule="auto"/>
              <w:jc w:val="left"/>
            </w:pPr>
            <w:r/>
            <w:r>
              <w:rPr>
                <w:rFonts w:ascii="Times New Roman" w:hAnsi="Times New Roman" w:eastAsia="宋体"/>
                <w:b w:val="0"/>
                <w:i w:val="0"/>
                <w:color w:val="000000"/>
                <w:sz w:val="20"/>
              </w:rPr>
              <w:t>发展性计算障碍</w:t>
            </w:r>
          </w:p>
        </w:tc>
        <w:tc>
          <w:tcPr>
            <w:tcW w:type="dxa" w:w="964"/>
          </w:tcPr>
          <w:p>
            <w:pPr>
              <w:spacing w:line="312" w:lineRule="auto"/>
              <w:jc w:val="left"/>
            </w:pPr>
            <w:r/>
            <w:r>
              <w:rPr>
                <w:rFonts w:ascii="Times New Roman" w:hAnsi="Times New Roman" w:eastAsia="宋体"/>
                <w:b w:val="0"/>
                <w:i w:val="0"/>
                <w:color w:val="000000"/>
                <w:sz w:val="20"/>
              </w:rPr>
              <w:t>6 分钟</w:t>
            </w:r>
          </w:p>
        </w:tc>
        <w:tc>
          <w:tcPr>
            <w:tcW w:type="dxa" w:w="3515"/>
          </w:tcPr>
          <w:p>
            <w:pPr>
              <w:spacing w:line="312" w:lineRule="auto"/>
              <w:jc w:val="left"/>
            </w:pPr>
            <w:r/>
            <w:r>
              <w:rPr>
                <w:rFonts w:ascii="Times New Roman" w:hAnsi="Times New Roman" w:eastAsia="宋体"/>
                <w:b w:val="0"/>
                <w:i w:val="0"/>
                <w:color w:val="000000"/>
                <w:sz w:val="20"/>
              </w:rPr>
              <w:t>符号映射标记；神经基础与补偿；筛查与干预</w:t>
            </w:r>
          </w:p>
        </w:tc>
        <w:tc>
          <w:tcPr>
            <w:tcW w:type="dxa" w:w="2891"/>
          </w:tcPr>
          <w:p>
            <w:pPr>
              <w:spacing w:line="312" w:lineRule="auto"/>
              <w:jc w:val="left"/>
            </w:pPr>
            <w:r/>
            <w:r>
              <w:rPr>
                <w:rFonts w:ascii="Times New Roman" w:hAnsi="Times New Roman" w:eastAsia="宋体"/>
                <w:b w:val="0"/>
                <w:i w:val="0"/>
                <w:color w:val="000000"/>
                <w:sz w:val="20"/>
              </w:rPr>
              <w:t>Rousselle &amp; Noël (2007); Ansari et al. (2007)</w:t>
            </w:r>
          </w:p>
        </w:tc>
      </w:tr>
      <w:tr>
        <w:tc>
          <w:tcPr>
            <w:tcW w:type="dxa" w:w="1701"/>
          </w:tcPr>
          <w:p>
            <w:pPr>
              <w:spacing w:line="312" w:lineRule="auto"/>
              <w:jc w:val="left"/>
            </w:pPr>
            <w:r/>
            <w:r>
              <w:rPr>
                <w:rFonts w:ascii="Times New Roman" w:hAnsi="Times New Roman" w:eastAsia="宋体"/>
                <w:b w:val="0"/>
                <w:i w:val="0"/>
                <w:color w:val="000000"/>
                <w:sz w:val="20"/>
              </w:rPr>
              <w:t>教学原则与总结</w:t>
            </w:r>
          </w:p>
        </w:tc>
        <w:tc>
          <w:tcPr>
            <w:tcW w:type="dxa" w:w="964"/>
          </w:tcPr>
          <w:p>
            <w:pPr>
              <w:spacing w:line="312" w:lineRule="auto"/>
              <w:jc w:val="left"/>
            </w:pPr>
            <w:r/>
            <w:r>
              <w:rPr>
                <w:rFonts w:ascii="Times New Roman" w:hAnsi="Times New Roman" w:eastAsia="宋体"/>
                <w:b w:val="0"/>
                <w:i w:val="0"/>
                <w:color w:val="000000"/>
                <w:sz w:val="20"/>
              </w:rPr>
              <w:t>7 分钟</w:t>
            </w:r>
          </w:p>
        </w:tc>
        <w:tc>
          <w:tcPr>
            <w:tcW w:type="dxa" w:w="3515"/>
          </w:tcPr>
          <w:p>
            <w:pPr>
              <w:spacing w:line="312" w:lineRule="auto"/>
              <w:jc w:val="left"/>
            </w:pPr>
            <w:r/>
            <w:r>
              <w:rPr>
                <w:rFonts w:ascii="Times New Roman" w:hAnsi="Times New Roman" w:eastAsia="宋体"/>
                <w:b w:val="0"/>
                <w:i w:val="0"/>
                <w:color w:val="000000"/>
                <w:sz w:val="20"/>
              </w:rPr>
              <w:t>五条教学原则及其依据；两讲合观与研究展望</w:t>
            </w:r>
          </w:p>
        </w:tc>
        <w:tc>
          <w:tcPr>
            <w:tcW w:type="dxa" w:w="2891"/>
          </w:tcPr>
          <w:p>
            <w:pPr>
              <w:spacing w:line="312" w:lineRule="auto"/>
              <w:jc w:val="left"/>
            </w:pPr>
            <w:r/>
            <w:r>
              <w:rPr>
                <w:rFonts w:ascii="Times New Roman" w:hAnsi="Times New Roman" w:eastAsia="宋体"/>
                <w:b w:val="0"/>
                <w:i w:val="0"/>
                <w:color w:val="000000"/>
                <w:sz w:val="20"/>
              </w:rPr>
              <w:t>Duval (2017); Brown et al. (1989); 王成营 (2012)</w:t>
            </w:r>
          </w:p>
        </w:tc>
      </w:tr>
    </w:tbl>
    <w:p>
      <w:pPr>
        <w:spacing w:before="160" w:after="80" w:line="360" w:lineRule="auto"/>
      </w:pPr>
      <w:r>
        <w:rPr>
          <w:rFonts w:ascii="Times New Roman" w:hAnsi="Times New Roman" w:eastAsia="黑体"/>
          <w:b/>
          <w:i w:val="0"/>
          <w:color w:val="000000"/>
          <w:sz w:val="26"/>
        </w:rPr>
        <w:t>（三）内容纲要</w:t>
      </w:r>
    </w:p>
    <w:p>
      <w:pPr>
        <w:spacing w:before="120" w:after="60" w:line="360" w:lineRule="auto"/>
      </w:pPr>
      <w:r>
        <w:rPr>
          <w:rFonts w:ascii="Times New Roman" w:hAnsi="Times New Roman" w:eastAsia="黑体"/>
          <w:b/>
          <w:i w:val="0"/>
          <w:color w:val="000000"/>
          <w:sz w:val="24"/>
        </w:rPr>
        <w:t>1. 发展轨迹（12 分钟）</w:t>
      </w:r>
    </w:p>
    <w:p>
      <w:pPr>
        <w:spacing w:line="360" w:lineRule="auto" w:before="0" w:after="0"/>
        <w:ind w:firstLine="480"/>
        <w:jc w:val="both"/>
      </w:pPr>
      <w:r>
        <w:rPr>
          <w:rFonts w:ascii="Times New Roman" w:hAnsi="Times New Roman" w:eastAsia="宋体"/>
          <w:b w:val="0"/>
          <w:i w:val="0"/>
          <w:color w:val="000000"/>
          <w:sz w:val="24"/>
        </w:rPr>
        <w:t>以 von Aster 与 Shalev（2007）四步模型作为总框架：核心数量表征、语言数字符号、阿拉伯数字符号、心理数线扩展，符号环节居于中枢。概念发生层面讲授 Carey（2009）的奎宁式自举：自然数概念经由语言计数序列的序数结构与 ANS 基数信息的结构化映射逐步建构；基数原则是发展的跳板，Geary 与 vanMarle（2018）的纵向数据表明儿童掌握基数理解后符号数量知识增长显著加速。加工层面讲授 Gebuis 等（2008）的发现，5 岁儿童仅对非符号格式显示自动数量加工，符号自动化是渐进发展的产物。</w:t>
      </w:r>
    </w:p>
    <w:p>
      <w:pPr>
        <w:spacing w:line="360" w:lineRule="auto" w:before="0" w:after="0"/>
        <w:ind w:firstLine="480"/>
        <w:jc w:val="both"/>
      </w:pPr>
      <w:r>
        <w:rPr>
          <w:rFonts w:ascii="Times New Roman" w:hAnsi="Times New Roman" w:eastAsia="宋体"/>
          <w:b w:val="0"/>
          <w:i w:val="0"/>
          <w:color w:val="000000"/>
          <w:sz w:val="24"/>
        </w:rPr>
        <w:t xml:space="preserve">关键证据为 Schneider 等（2017）的荟萃分析，覆盖 45 篇论文、284 个效应量、17201 名被试，符号数量比较与数学能力的相关为 </w:t>
      </w:r>
      <w:r>
        <w:rPr>
          <w:rFonts w:ascii="Times New Roman" w:hAnsi="Times New Roman" w:eastAsia="宋体"/>
          <w:b w:val="0"/>
          <w:i/>
          <w:color w:val="000000"/>
          <w:sz w:val="24"/>
        </w:rPr>
        <w:t>r</w:t>
      </w:r>
      <w:r>
        <w:rPr>
          <w:rFonts w:ascii="Times New Roman" w:hAnsi="Times New Roman" w:eastAsia="宋体"/>
          <w:b w:val="0"/>
          <w:i w:val="0"/>
          <w:color w:val="000000"/>
          <w:sz w:val="24"/>
        </w:rPr>
        <w:t xml:space="preserve"> = .302，显著高于非符号任务的 </w:t>
      </w:r>
      <w:r>
        <w:rPr>
          <w:rFonts w:ascii="Times New Roman" w:hAnsi="Times New Roman" w:eastAsia="宋体"/>
          <w:b w:val="0"/>
          <w:i/>
          <w:color w:val="000000"/>
          <w:sz w:val="24"/>
        </w:rPr>
        <w:t>r</w:t>
      </w:r>
      <w:r>
        <w:rPr>
          <w:rFonts w:ascii="Times New Roman" w:hAnsi="Times New Roman" w:eastAsia="宋体"/>
          <w:b w:val="0"/>
          <w:i w:val="0"/>
          <w:color w:val="000000"/>
          <w:sz w:val="24"/>
        </w:rPr>
        <w:t xml:space="preserve"> = .241；Vanbinst 等（2012）进一步表明符号能力直接影响算术策略选择。由此得出结论：符号能力是数学成就更强的近端预测指标。神经机制层面讲授 Battista 等（2018）的交互专门化证据，顶叶与前额叶连接随发展减弱而顶叶内部连接增强，并借 Vogel 与 De Smedt（2021）的综述说明领域特异性与领域一般性过程的互动，与第 1 讲的额顶转变形成衔接。</w:t>
      </w:r>
    </w:p>
    <w:p>
      <w:pPr>
        <w:spacing w:before="120" w:after="60" w:line="360" w:lineRule="auto"/>
      </w:pPr>
      <w:r>
        <w:rPr>
          <w:rFonts w:ascii="Times New Roman" w:hAnsi="Times New Roman" w:eastAsia="黑体"/>
          <w:b/>
          <w:i w:val="0"/>
          <w:color w:val="000000"/>
          <w:sz w:val="24"/>
        </w:rPr>
        <w:t>2. 具身机制（10 分钟）</w:t>
      </w:r>
    </w:p>
    <w:p>
      <w:pPr>
        <w:spacing w:line="360" w:lineRule="auto" w:before="0" w:after="0"/>
        <w:ind w:firstLine="480"/>
        <w:jc w:val="both"/>
      </w:pPr>
      <w:r>
        <w:rPr>
          <w:rFonts w:ascii="Times New Roman" w:hAnsi="Times New Roman" w:eastAsia="宋体"/>
          <w:b w:val="0"/>
          <w:i w:val="0"/>
          <w:color w:val="000000"/>
          <w:sz w:val="24"/>
        </w:rPr>
        <w:t>理论根基为 Lakoff 与 Núñez（2000）的具身数学观：最抽象的数学概念也根植于感觉运动经验与隐喻映射，算术根植于物体集合经验，函数根植于运动轨迹隐喻，集合论根植于容器图式；同时呈现争议，Shute（2005）质疑高阶数学是否受限于具身隐喻，Buchholz（2002）从社会建构视角补充，中文理论资源包括叶浩生（2010, 2011）与韩冬和叶浩生（2013）。证据层面讲授手指研究：Soylu 与 Newman（2018）论证手指感知运动经验是数值技能的多模态入口，Morrissey 等（2016）的跨文化比较显示符号数大小加工部分根植于习得的手指计数习惯。教学转化层面讲授 Abrahamson 等（2016, 2020）的具身设计原则，先培养概念导向的运动形式，再形式化为学科符号。</w:t>
      </w:r>
    </w:p>
    <w:p>
      <w:pPr>
        <w:spacing w:line="360" w:lineRule="auto" w:before="0" w:after="0"/>
        <w:ind w:firstLine="480"/>
        <w:jc w:val="both"/>
      </w:pPr>
      <w:r>
        <w:rPr>
          <w:rFonts w:ascii="Times New Roman" w:hAnsi="Times New Roman" w:eastAsia="宋体"/>
          <w:b w:val="0"/>
          <w:i w:val="0"/>
          <w:color w:val="000000"/>
          <w:sz w:val="24"/>
        </w:rPr>
        <w:t>珠心算作为案例研究须呈现双向证据：Wang 等（2013）发现珠心算儿童数量表征被重塑而非仅计算提速，葛雪莲等（2021）在中文样本中证实训练重塑数学认知脑网络；另一方面，Lo 与 Andrews（2022）发现专家的优势局限于算术任务，Barner 等（2016）的课堂随机对照试验显示一年教学未产生显著整体认知优势。引用该案例时必须同时报告阳性与阴性结果，这是循证意识的具体训练。</w:t>
      </w:r>
    </w:p>
    <w:p>
      <w:pPr>
        <w:spacing w:before="120" w:after="60" w:line="360" w:lineRule="auto"/>
      </w:pPr>
      <w:r>
        <w:rPr>
          <w:rFonts w:ascii="Times New Roman" w:hAnsi="Times New Roman" w:eastAsia="黑体"/>
          <w:b/>
          <w:i w:val="0"/>
          <w:color w:val="000000"/>
          <w:sz w:val="24"/>
        </w:rPr>
        <w:t>3. 文化维度（10 分钟）</w:t>
      </w:r>
    </w:p>
    <w:p>
      <w:pPr>
        <w:spacing w:line="360" w:lineRule="auto" w:before="0" w:after="0"/>
        <w:ind w:firstLine="480"/>
        <w:jc w:val="both"/>
      </w:pPr>
      <w:r>
        <w:rPr>
          <w:rFonts w:ascii="Times New Roman" w:hAnsi="Times New Roman" w:eastAsia="宋体"/>
          <w:b w:val="0"/>
          <w:i w:val="0"/>
          <w:color w:val="000000"/>
          <w:sz w:val="24"/>
        </w:rPr>
        <w:t>数词系统维度讲授 Miura 等（1988）的经典发现，中日韩儿童位值概念与算术优于美国儿童，归因于数词系统的构成规律性；Gobel（2018）确认数字词透明度是位值概念习得的关键因素；Marchand 与 Barner（2018）说明透明度影响大数概念的类比映射。同时划定边界：语言优势体现在特定概念的习得速度与难度分布，而非普遍能力决定论。空间维度讲授 SNARC 效应的文化变异（Shaki &amp; Fischer, 2018）、数学家群体的特殊性（Cipora et al., 2015）与数学困难儿童的异常（蔡勇刚, 2016）。语言制约维度讲授 Piraha 语自然实验：Everett（2005, 2013）显示无数词语言的成人区分超过 3 的数量存在困难，Evans 与 Levinson（2009）提供语言多样性的理论坐标；解读须谨慎，证据支持数词对精确大数表征的支撑作用，不支持语言决定论。记数系统维度讲授 Bender 与 Beller（2018）的文化工具分析与 Krajcsi 与 Szabo（2012）的反直觉发现，位值概念的高学习成本部分是记数系统的固有属性。历史维度以 Kleiner（2007）、Iverson（1980）与 Mazur（2014）说明符号系统的演变是认知扩展的历史。</w:t>
      </w:r>
    </w:p>
    <w:p>
      <w:pPr>
        <w:spacing w:before="120" w:after="60" w:line="360" w:lineRule="auto"/>
      </w:pPr>
      <w:r>
        <w:rPr>
          <w:rFonts w:ascii="Times New Roman" w:hAnsi="Times New Roman" w:eastAsia="黑体"/>
          <w:b/>
          <w:i w:val="0"/>
          <w:color w:val="000000"/>
          <w:sz w:val="24"/>
        </w:rPr>
        <w:t>4. 发展性计算障碍（6 分钟）</w:t>
      </w:r>
    </w:p>
    <w:p>
      <w:pPr>
        <w:spacing w:line="360" w:lineRule="auto" w:before="0" w:after="0"/>
        <w:ind w:firstLine="480"/>
        <w:jc w:val="both"/>
      </w:pPr>
      <w:r>
        <w:rPr>
          <w:rFonts w:ascii="Times New Roman" w:hAnsi="Times New Roman" w:eastAsia="宋体"/>
          <w:b w:val="0"/>
          <w:i w:val="0"/>
          <w:color w:val="000000"/>
          <w:sz w:val="24"/>
        </w:rPr>
        <w:t>回到 von Aster 与 Shalev（2007）四步模型，符号加工环节是发展性计算障碍（DD）轨迹的关键。行为标记：Rousselle 与 Noël（2007）发现符号与非符号映射任务是数学学习障碍的最佳预测因子，张丽等（2018）在中文样本中验证，赵晖等（2013）提出符号通达障碍假说，主张 DD 核心困难在于从符号通达数量意义的通路受损。神经基础：Ansari 等（2007）发现 DD 儿童符号数量加工时顶叶激活减弱，Kucian 等（2011）揭示补偿性神经策略，Peters 等（2018）显示计算障碍与阅读障碍的共享神经基础，Schwizer Ashkenazi 等（2024）提供神经发育起源的形态学证据。教育意义：符号映射能力可作为早期筛查指标，针对性符号映射训练是重要干预方向。</w:t>
      </w:r>
    </w:p>
    <w:p>
      <w:pPr>
        <w:spacing w:before="120" w:after="60" w:line="360" w:lineRule="auto"/>
      </w:pPr>
      <w:r>
        <w:rPr>
          <w:rFonts w:ascii="Times New Roman" w:hAnsi="Times New Roman" w:eastAsia="黑体"/>
          <w:b/>
          <w:i w:val="0"/>
          <w:color w:val="000000"/>
          <w:sz w:val="24"/>
        </w:rPr>
        <w:t>5. 教学原则与课程总结（7 分钟）</w:t>
      </w:r>
    </w:p>
    <w:p>
      <w:pPr>
        <w:spacing w:line="360" w:lineRule="auto" w:before="0" w:after="0"/>
        <w:ind w:firstLine="480"/>
        <w:jc w:val="both"/>
      </w:pPr>
      <w:r>
        <w:rPr>
          <w:rFonts w:ascii="Times New Roman" w:hAnsi="Times New Roman" w:eastAsia="宋体"/>
          <w:b w:val="0"/>
          <w:i w:val="0"/>
          <w:color w:val="000000"/>
          <w:sz w:val="24"/>
        </w:rPr>
        <w:t>逐条讲授五条教学原则并标明依据。多表征转换原则依据 Duval 寄存器理论，要求提供多种表征并训练转换；具身激活原则依据具身认知研究，要求为抽象符号提供感觉运动基础；渐进形式化原则依据 Tall 三世界理论，要求从具身感知经符号操作过渡到形式定义；文化关联原则依据跨文化研究，要求利用学生已有的文化数字资源并呈现多元符号系统；情境嵌入原则依据情境认知理论（Brown et al., 1989），要求将符号学习嵌入真实问题情境。补充王成营（2012）的符号意义获得阶段模型与 Arcavi（2020）的符号感实证研究作为本土与学科依据。最后两讲合观：第 1 讲回答机制与意义，第 2 讲展开发展、文化与转化，统一于符号是文化发明与神经认知相互塑造的产物；并提示研究展望的五个方向。</w:t>
      </w:r>
    </w:p>
    <w:p>
      <w:pPr>
        <w:spacing w:before="240" w:after="120" w:line="360" w:lineRule="auto"/>
      </w:pPr>
      <w:r>
        <w:rPr>
          <w:rFonts w:ascii="Times New Roman" w:hAnsi="Times New Roman" w:eastAsia="黑体"/>
          <w:b/>
          <w:i w:val="0"/>
          <w:color w:val="000000"/>
          <w:sz w:val="30"/>
        </w:rPr>
        <w:t>七、课件使用与课后自学支持</w:t>
      </w:r>
    </w:p>
    <w:p>
      <w:pPr>
        <w:spacing w:line="360" w:lineRule="auto" w:before="0" w:after="0"/>
        <w:ind w:firstLine="480"/>
        <w:jc w:val="both"/>
      </w:pPr>
      <w:r>
        <w:rPr>
          <w:rFonts w:ascii="Times New Roman" w:hAnsi="Times New Roman" w:eastAsia="宋体"/>
          <w:b w:val="0"/>
          <w:i w:val="0"/>
          <w:color w:val="000000"/>
          <w:sz w:val="24"/>
        </w:rPr>
        <w:t>两份课件按学术论文规格编写，可直接作为课后复习材料，其自学支持结构如下。每讲第 2 页给出本讲论证链，供学生建立整体框架；各内容页底部标注文献来源，供查证与延伸阅读；每讲末段依次设置本讲小结（编号结论并附出处）、核心术语表（中英对照与简明释义）、本讲参考文献（APA 格式）与分级延伸阅读（核心阅读与扩展阅读）。建议复习路径为：先按术语表梳理概念，再按论证链复述逻辑，对每条小结结论至少举出一项支持证据；学有余力者按延伸阅读清单阅读原始文献，并按综述文献库核查全文。</w:t>
      </w:r>
    </w:p>
    <w:p>
      <w:pPr>
        <w:spacing w:before="240" w:after="120" w:line="360" w:lineRule="auto"/>
      </w:pPr>
      <w:r>
        <w:rPr>
          <w:rFonts w:ascii="Times New Roman" w:hAnsi="Times New Roman" w:eastAsia="黑体"/>
          <w:b/>
          <w:i w:val="0"/>
          <w:color w:val="000000"/>
          <w:sz w:val="30"/>
        </w:rPr>
        <w:t>八、参考文献</w:t>
      </w:r>
    </w:p>
    <w:p>
      <w:pPr>
        <w:spacing w:line="360" w:lineRule="auto" w:before="0" w:after="60"/>
        <w:ind w:left="425" w:hanging="425"/>
        <w:jc w:val="both"/>
      </w:pPr>
      <w:r>
        <w:rPr>
          <w:rFonts w:ascii="Times New Roman" w:hAnsi="Times New Roman" w:eastAsia="宋体"/>
          <w:b w:val="0"/>
          <w:i w:val="0"/>
          <w:color w:val="000000"/>
          <w:sz w:val="21"/>
        </w:rPr>
        <w:t xml:space="preserve">Abrahamson, D., &amp; Sánchez García, R. (2016). Learning is moving in new ways: The ecological dynamics of mathematics education. </w:t>
      </w:r>
      <w:r>
        <w:rPr>
          <w:rFonts w:ascii="Times New Roman" w:hAnsi="Times New Roman" w:eastAsia="宋体"/>
          <w:b w:val="0"/>
          <w:i/>
          <w:color w:val="000000"/>
          <w:sz w:val="21"/>
        </w:rPr>
        <w:t>Journal of the Learning Sciences, 25</w:t>
      </w:r>
      <w:r>
        <w:rPr>
          <w:rFonts w:ascii="Times New Roman" w:hAnsi="Times New Roman" w:eastAsia="宋体"/>
          <w:b w:val="0"/>
          <w:i w:val="0"/>
          <w:color w:val="000000"/>
          <w:sz w:val="21"/>
        </w:rPr>
        <w:t>(3), 331-370.</w:t>
      </w:r>
    </w:p>
    <w:p>
      <w:pPr>
        <w:spacing w:line="360" w:lineRule="auto" w:before="0" w:after="60"/>
        <w:ind w:left="425" w:hanging="425"/>
        <w:jc w:val="both"/>
      </w:pPr>
      <w:r>
        <w:rPr>
          <w:rFonts w:ascii="Times New Roman" w:hAnsi="Times New Roman" w:eastAsia="宋体"/>
          <w:b w:val="0"/>
          <w:i w:val="0"/>
          <w:color w:val="000000"/>
          <w:sz w:val="21"/>
        </w:rPr>
        <w:t xml:space="preserve">Abrahamson, D., Nathan, M. J., Williams, C., Walkington, C., Ottmar, E., Soto, H., &amp; Alibali, M. W. (2020). The future of embodied design for mathematics teaching and learning. </w:t>
      </w:r>
      <w:r>
        <w:rPr>
          <w:rFonts w:ascii="Times New Roman" w:hAnsi="Times New Roman" w:eastAsia="宋体"/>
          <w:b w:val="0"/>
          <w:i/>
          <w:color w:val="000000"/>
          <w:sz w:val="21"/>
        </w:rPr>
        <w:t>Frontiers in Education, 5</w:t>
      </w:r>
      <w:r>
        <w:rPr>
          <w:rFonts w:ascii="Times New Roman" w:hAnsi="Times New Roman" w:eastAsia="宋体"/>
          <w:b w:val="0"/>
          <w:i w:val="0"/>
          <w:color w:val="000000"/>
          <w:sz w:val="21"/>
        </w:rPr>
        <w:t>, 147.</w:t>
      </w:r>
    </w:p>
    <w:p>
      <w:pPr>
        <w:spacing w:line="360" w:lineRule="auto" w:before="0" w:after="60"/>
        <w:ind w:left="425" w:hanging="425"/>
        <w:jc w:val="both"/>
      </w:pPr>
      <w:r>
        <w:rPr>
          <w:rFonts w:ascii="Times New Roman" w:hAnsi="Times New Roman" w:eastAsia="宋体"/>
          <w:b w:val="0"/>
          <w:i w:val="0"/>
          <w:color w:val="000000"/>
          <w:sz w:val="21"/>
        </w:rPr>
        <w:t xml:space="preserve">Ansari, D., Garcia, N., Lucas, E., Hamon, K., &amp; Dhital, B. (2005). Neural correlates of symbolic number processing in children and adults. </w:t>
      </w:r>
      <w:r>
        <w:rPr>
          <w:rFonts w:ascii="Times New Roman" w:hAnsi="Times New Roman" w:eastAsia="宋体"/>
          <w:b w:val="0"/>
          <w:i/>
          <w:color w:val="000000"/>
          <w:sz w:val="21"/>
        </w:rPr>
        <w:t>Journal of Cognitive Neuroscience, 17</w:t>
      </w:r>
      <w:r>
        <w:rPr>
          <w:rFonts w:ascii="Times New Roman" w:hAnsi="Times New Roman" w:eastAsia="宋体"/>
          <w:b w:val="0"/>
          <w:i w:val="0"/>
          <w:color w:val="000000"/>
          <w:sz w:val="21"/>
        </w:rPr>
        <w:t>(12), 1933-1943.</w:t>
      </w:r>
    </w:p>
    <w:p>
      <w:pPr>
        <w:spacing w:line="360" w:lineRule="auto" w:before="0" w:after="60"/>
        <w:ind w:left="425" w:hanging="425"/>
        <w:jc w:val="both"/>
      </w:pPr>
      <w:r>
        <w:rPr>
          <w:rFonts w:ascii="Times New Roman" w:hAnsi="Times New Roman" w:eastAsia="宋体"/>
          <w:b w:val="0"/>
          <w:i w:val="0"/>
          <w:color w:val="000000"/>
          <w:sz w:val="21"/>
        </w:rPr>
        <w:t xml:space="preserve">Ansari, D., Holloway, I., Price, G., &amp; van Marle, V. (2007). Impaired parietal magnitude processing in developmental dyscalculia. </w:t>
      </w:r>
      <w:r>
        <w:rPr>
          <w:rFonts w:ascii="Times New Roman" w:hAnsi="Times New Roman" w:eastAsia="宋体"/>
          <w:b w:val="0"/>
          <w:i/>
          <w:color w:val="000000"/>
          <w:sz w:val="21"/>
        </w:rPr>
        <w:t>Current Biology, 17</w:t>
      </w:r>
      <w:r>
        <w:rPr>
          <w:rFonts w:ascii="Times New Roman" w:hAnsi="Times New Roman" w:eastAsia="宋体"/>
          <w:b w:val="0"/>
          <w:i w:val="0"/>
          <w:color w:val="000000"/>
          <w:sz w:val="21"/>
        </w:rPr>
        <w:t>(24), R1042-R1043.</w:t>
      </w:r>
    </w:p>
    <w:p>
      <w:pPr>
        <w:spacing w:line="360" w:lineRule="auto" w:before="0" w:after="60"/>
        <w:ind w:left="425" w:hanging="425"/>
        <w:jc w:val="both"/>
      </w:pPr>
      <w:r>
        <w:rPr>
          <w:rFonts w:ascii="Times New Roman" w:hAnsi="Times New Roman" w:eastAsia="宋体"/>
          <w:b w:val="0"/>
          <w:i w:val="0"/>
          <w:color w:val="000000"/>
          <w:sz w:val="21"/>
        </w:rPr>
        <w:t xml:space="preserve">Barner, D., Alvarez, G., Sullivan, J., Brooks, N., &amp; Frank, M. C. (2016). Learning mathematics in a visuospatial format: A randomized, controlled trial of mental abacus instruction. </w:t>
      </w:r>
      <w:r>
        <w:rPr>
          <w:rFonts w:ascii="Times New Roman" w:hAnsi="Times New Roman" w:eastAsia="宋体"/>
          <w:b w:val="0"/>
          <w:i/>
          <w:color w:val="000000"/>
          <w:sz w:val="21"/>
        </w:rPr>
        <w:t>Child Development, 87</w:t>
      </w:r>
      <w:r>
        <w:rPr>
          <w:rFonts w:ascii="Times New Roman" w:hAnsi="Times New Roman" w:eastAsia="宋体"/>
          <w:b w:val="0"/>
          <w:i w:val="0"/>
          <w:color w:val="000000"/>
          <w:sz w:val="21"/>
        </w:rPr>
        <w:t>(4), 1146-1158.</w:t>
      </w:r>
    </w:p>
    <w:p>
      <w:pPr>
        <w:spacing w:line="360" w:lineRule="auto" w:before="0" w:after="60"/>
        <w:ind w:left="425" w:hanging="425"/>
        <w:jc w:val="both"/>
      </w:pPr>
      <w:r>
        <w:rPr>
          <w:rFonts w:ascii="Times New Roman" w:hAnsi="Times New Roman" w:eastAsia="宋体"/>
          <w:b w:val="0"/>
          <w:i w:val="0"/>
          <w:color w:val="000000"/>
          <w:sz w:val="21"/>
        </w:rPr>
        <w:t xml:space="preserve">Battista, C., Evans, T. M., Ngoon, T. J., Chen, T., Chen, L., Kochalka, J., &amp; Menon, V. (2018). Mechanisms of interactive specialization and emergence of functional brain circuits supporting cognitive development in children. </w:t>
      </w:r>
      <w:r>
        <w:rPr>
          <w:rFonts w:ascii="Times New Roman" w:hAnsi="Times New Roman" w:eastAsia="宋体"/>
          <w:b w:val="0"/>
          <w:i/>
          <w:color w:val="000000"/>
          <w:sz w:val="21"/>
        </w:rPr>
        <w:t>npj Science of Learning, 3</w:t>
      </w:r>
      <w:r>
        <w:rPr>
          <w:rFonts w:ascii="Times New Roman" w:hAnsi="Times New Roman" w:eastAsia="宋体"/>
          <w:b w:val="0"/>
          <w:i w:val="0"/>
          <w:color w:val="000000"/>
          <w:sz w:val="21"/>
        </w:rPr>
        <w:t>(1), 1-13.</w:t>
      </w:r>
    </w:p>
    <w:p>
      <w:pPr>
        <w:spacing w:line="360" w:lineRule="auto" w:before="0" w:after="60"/>
        <w:ind w:left="425" w:hanging="425"/>
        <w:jc w:val="both"/>
      </w:pPr>
      <w:r>
        <w:rPr>
          <w:rFonts w:ascii="Times New Roman" w:hAnsi="Times New Roman" w:eastAsia="宋体"/>
          <w:b w:val="0"/>
          <w:i w:val="0"/>
          <w:color w:val="000000"/>
          <w:sz w:val="21"/>
        </w:rPr>
        <w:t xml:space="preserve">Bender, A., &amp; Beller, S. (2018). Numeration systems as cultural tools for numerical cognition. In D. B. Berch et al. (Eds.), </w:t>
      </w:r>
      <w:r>
        <w:rPr>
          <w:rFonts w:ascii="Times New Roman" w:hAnsi="Times New Roman" w:eastAsia="宋体"/>
          <w:b w:val="0"/>
          <w:i/>
          <w:color w:val="000000"/>
          <w:sz w:val="21"/>
        </w:rPr>
        <w:t>Language and culture in mathematical cognition</w:t>
      </w:r>
      <w:r>
        <w:rPr>
          <w:rFonts w:ascii="Times New Roman" w:hAnsi="Times New Roman" w:eastAsia="宋体"/>
          <w:b w:val="0"/>
          <w:i w:val="0"/>
          <w:color w:val="000000"/>
          <w:sz w:val="21"/>
        </w:rPr>
        <w:t xml:space="preserve"> (pp. 297-320). Academic Press.</w:t>
      </w:r>
    </w:p>
    <w:p>
      <w:pPr>
        <w:spacing w:line="360" w:lineRule="auto" w:before="0" w:after="60"/>
        <w:ind w:left="425" w:hanging="425"/>
        <w:jc w:val="both"/>
      </w:pPr>
      <w:r>
        <w:rPr>
          <w:rFonts w:ascii="Times New Roman" w:hAnsi="Times New Roman" w:eastAsia="宋体"/>
          <w:b w:val="0"/>
          <w:i w:val="0"/>
          <w:color w:val="000000"/>
          <w:sz w:val="21"/>
        </w:rPr>
        <w:t xml:space="preserve">Brown, J. S., Collins, A., &amp; Duguid, P. (1989). Situated cognition and the culture of learning. </w:t>
      </w:r>
      <w:r>
        <w:rPr>
          <w:rFonts w:ascii="Times New Roman" w:hAnsi="Times New Roman" w:eastAsia="宋体"/>
          <w:b w:val="0"/>
          <w:i/>
          <w:color w:val="000000"/>
          <w:sz w:val="21"/>
        </w:rPr>
        <w:t>Educational Researcher, 18</w:t>
      </w:r>
      <w:r>
        <w:rPr>
          <w:rFonts w:ascii="Times New Roman" w:hAnsi="Times New Roman" w:eastAsia="宋体"/>
          <w:b w:val="0"/>
          <w:i w:val="0"/>
          <w:color w:val="000000"/>
          <w:sz w:val="21"/>
        </w:rPr>
        <w:t>(1), 32-42.</w:t>
      </w:r>
    </w:p>
    <w:p>
      <w:pPr>
        <w:spacing w:line="360" w:lineRule="auto" w:before="0" w:after="60"/>
        <w:ind w:left="425" w:hanging="425"/>
        <w:jc w:val="both"/>
      </w:pPr>
      <w:r>
        <w:rPr>
          <w:rFonts w:ascii="Times New Roman" w:hAnsi="Times New Roman" w:eastAsia="宋体"/>
          <w:b w:val="0"/>
          <w:i w:val="0"/>
          <w:color w:val="000000"/>
          <w:sz w:val="21"/>
        </w:rPr>
        <w:t xml:space="preserve">Cantlon, J. F., Brannon, E. M., Carter, E. J., &amp; Pelphrey, K. A. (2006). Functional imaging of numerical processing in adults and 4-y-old children. </w:t>
      </w:r>
      <w:r>
        <w:rPr>
          <w:rFonts w:ascii="Times New Roman" w:hAnsi="Times New Roman" w:eastAsia="宋体"/>
          <w:b w:val="0"/>
          <w:i/>
          <w:color w:val="000000"/>
          <w:sz w:val="21"/>
        </w:rPr>
        <w:t>PLOS Biology, 4</w:t>
      </w:r>
      <w:r>
        <w:rPr>
          <w:rFonts w:ascii="Times New Roman" w:hAnsi="Times New Roman" w:eastAsia="宋体"/>
          <w:b w:val="0"/>
          <w:i w:val="0"/>
          <w:color w:val="000000"/>
          <w:sz w:val="21"/>
        </w:rPr>
        <w:t>(5), e125.</w:t>
      </w:r>
    </w:p>
    <w:p>
      <w:pPr>
        <w:spacing w:line="360" w:lineRule="auto" w:before="0" w:after="60"/>
        <w:ind w:left="425" w:hanging="425"/>
        <w:jc w:val="both"/>
      </w:pPr>
      <w:r>
        <w:rPr>
          <w:rFonts w:ascii="Times New Roman" w:hAnsi="Times New Roman" w:eastAsia="宋体"/>
          <w:b w:val="0"/>
          <w:i w:val="0"/>
          <w:color w:val="000000"/>
          <w:sz w:val="21"/>
        </w:rPr>
        <w:t xml:space="preserve">Cantlon, J. F., Libertus, M. E., Pinel, P., Dehaene, S., Brannon, E. M., &amp; Pelphrey, K. A. (2009). The neural development of an abstract concept of number. </w:t>
      </w:r>
      <w:r>
        <w:rPr>
          <w:rFonts w:ascii="Times New Roman" w:hAnsi="Times New Roman" w:eastAsia="宋体"/>
          <w:b w:val="0"/>
          <w:i/>
          <w:color w:val="000000"/>
          <w:sz w:val="21"/>
        </w:rPr>
        <w:t>Journal of Cognitive Neuroscience, 21</w:t>
      </w:r>
      <w:r>
        <w:rPr>
          <w:rFonts w:ascii="Times New Roman" w:hAnsi="Times New Roman" w:eastAsia="宋体"/>
          <w:b w:val="0"/>
          <w:i w:val="0"/>
          <w:color w:val="000000"/>
          <w:sz w:val="21"/>
        </w:rPr>
        <w:t>(11), 2217-2229.</w:t>
      </w:r>
    </w:p>
    <w:p>
      <w:pPr>
        <w:spacing w:line="360" w:lineRule="auto" w:before="0" w:after="60"/>
        <w:ind w:left="425" w:hanging="425"/>
        <w:jc w:val="both"/>
      </w:pPr>
      <w:r>
        <w:rPr>
          <w:rFonts w:ascii="Times New Roman" w:hAnsi="Times New Roman" w:eastAsia="宋体"/>
          <w:b w:val="0"/>
          <w:i w:val="0"/>
          <w:color w:val="000000"/>
          <w:sz w:val="21"/>
        </w:rPr>
        <w:t xml:space="preserve">Cantlon, J. F., Pinel, P., Dehaene, S., &amp; Pelphrey, K. A. (2010). Cortical representations of symbols, objects, and faces are pruned back during early childhood. </w:t>
      </w:r>
      <w:r>
        <w:rPr>
          <w:rFonts w:ascii="Times New Roman" w:hAnsi="Times New Roman" w:eastAsia="宋体"/>
          <w:b w:val="0"/>
          <w:i/>
          <w:color w:val="000000"/>
          <w:sz w:val="21"/>
        </w:rPr>
        <w:t>Cerebral Cortex, 21</w:t>
      </w:r>
      <w:r>
        <w:rPr>
          <w:rFonts w:ascii="Times New Roman" w:hAnsi="Times New Roman" w:eastAsia="宋体"/>
          <w:b w:val="0"/>
          <w:i w:val="0"/>
          <w:color w:val="000000"/>
          <w:sz w:val="21"/>
        </w:rPr>
        <w:t>(1), 191-199.</w:t>
      </w:r>
    </w:p>
    <w:p>
      <w:pPr>
        <w:spacing w:line="360" w:lineRule="auto" w:before="0" w:after="60"/>
        <w:ind w:left="425" w:hanging="425"/>
        <w:jc w:val="both"/>
      </w:pPr>
      <w:r>
        <w:rPr>
          <w:rFonts w:ascii="Times New Roman" w:hAnsi="Times New Roman" w:eastAsia="宋体"/>
          <w:b w:val="0"/>
          <w:i w:val="0"/>
          <w:color w:val="000000"/>
          <w:sz w:val="21"/>
        </w:rPr>
        <w:t xml:space="preserve">Carey, S. (2009). </w:t>
      </w:r>
      <w:r>
        <w:rPr>
          <w:rFonts w:ascii="Times New Roman" w:hAnsi="Times New Roman" w:eastAsia="宋体"/>
          <w:b w:val="0"/>
          <w:i/>
          <w:color w:val="000000"/>
          <w:sz w:val="21"/>
        </w:rPr>
        <w:t>The origin of concepts</w:t>
      </w:r>
      <w:r>
        <w:rPr>
          <w:rFonts w:ascii="Times New Roman" w:hAnsi="Times New Roman" w:eastAsia="宋体"/>
          <w:b w:val="0"/>
          <w:i w:val="0"/>
          <w:color w:val="000000"/>
          <w:sz w:val="21"/>
        </w:rPr>
        <w:t>. Oxford University Press.</w:t>
      </w:r>
    </w:p>
    <w:p>
      <w:pPr>
        <w:spacing w:line="360" w:lineRule="auto" w:before="0" w:after="60"/>
        <w:ind w:left="425" w:hanging="425"/>
        <w:jc w:val="both"/>
      </w:pPr>
      <w:r>
        <w:rPr>
          <w:rFonts w:ascii="Times New Roman" w:hAnsi="Times New Roman" w:eastAsia="宋体"/>
          <w:b w:val="0"/>
          <w:i w:val="0"/>
          <w:color w:val="000000"/>
          <w:sz w:val="21"/>
        </w:rPr>
        <w:t xml:space="preserve">Cipora, K., Hohol, M., Nuerk, H. C., Willmes, K., Brozek, B., Kucharzyk, B., &amp; Necka, E. (2015). Professional mathematicians differ from controls in their spatial-numerical associations. </w:t>
      </w:r>
      <w:r>
        <w:rPr>
          <w:rFonts w:ascii="Times New Roman" w:hAnsi="Times New Roman" w:eastAsia="宋体"/>
          <w:b w:val="0"/>
          <w:i/>
          <w:color w:val="000000"/>
          <w:sz w:val="21"/>
        </w:rPr>
        <w:t>Psychological Assessment, 27</w:t>
      </w:r>
      <w:r>
        <w:rPr>
          <w:rFonts w:ascii="Times New Roman" w:hAnsi="Times New Roman" w:eastAsia="宋体"/>
          <w:b w:val="0"/>
          <w:i w:val="0"/>
          <w:color w:val="000000"/>
          <w:sz w:val="21"/>
        </w:rPr>
        <w:t>(4), 1237-1251.</w:t>
      </w:r>
    </w:p>
    <w:p>
      <w:pPr>
        <w:spacing w:line="360" w:lineRule="auto" w:before="0" w:after="60"/>
        <w:ind w:left="425" w:hanging="425"/>
        <w:jc w:val="both"/>
      </w:pPr>
      <w:r>
        <w:rPr>
          <w:rFonts w:ascii="Times New Roman" w:hAnsi="Times New Roman" w:eastAsia="宋体"/>
          <w:b w:val="0"/>
          <w:i w:val="0"/>
          <w:color w:val="000000"/>
          <w:sz w:val="21"/>
        </w:rPr>
        <w:t xml:space="preserve">Cohen Kadosh, R., &amp; Walsh, V. (2009). Numerical representation in the parietal lobes: Abstract or not abstract? </w:t>
      </w:r>
      <w:r>
        <w:rPr>
          <w:rFonts w:ascii="Times New Roman" w:hAnsi="Times New Roman" w:eastAsia="宋体"/>
          <w:b w:val="0"/>
          <w:i/>
          <w:color w:val="000000"/>
          <w:sz w:val="21"/>
        </w:rPr>
        <w:t>Behavioral and Brain Sciences, 32</w:t>
      </w:r>
      <w:r>
        <w:rPr>
          <w:rFonts w:ascii="Times New Roman" w:hAnsi="Times New Roman" w:eastAsia="宋体"/>
          <w:b w:val="0"/>
          <w:i w:val="0"/>
          <w:color w:val="000000"/>
          <w:sz w:val="21"/>
        </w:rPr>
        <w:t>(3-4), 313-328.</w:t>
      </w:r>
    </w:p>
    <w:p>
      <w:pPr>
        <w:spacing w:line="360" w:lineRule="auto" w:before="0" w:after="60"/>
        <w:ind w:left="425" w:hanging="425"/>
        <w:jc w:val="both"/>
      </w:pPr>
      <w:r>
        <w:rPr>
          <w:rFonts w:ascii="Times New Roman" w:hAnsi="Times New Roman" w:eastAsia="宋体"/>
          <w:b w:val="0"/>
          <w:i w:val="0"/>
          <w:color w:val="000000"/>
          <w:sz w:val="21"/>
        </w:rPr>
        <w:t xml:space="preserve">Czarnecka, M., et al. (2023). Overlapping but separate number representations in the intraparietal sulcus. </w:t>
      </w:r>
      <w:r>
        <w:rPr>
          <w:rFonts w:ascii="Times New Roman" w:hAnsi="Times New Roman" w:eastAsia="宋体"/>
          <w:b w:val="0"/>
          <w:i/>
          <w:color w:val="000000"/>
          <w:sz w:val="21"/>
        </w:rPr>
        <w:t>Cortex, 162</w:t>
      </w:r>
      <w:r>
        <w:rPr>
          <w:rFonts w:ascii="Times New Roman" w:hAnsi="Times New Roman" w:eastAsia="宋体"/>
          <w:b w:val="0"/>
          <w:i w:val="0"/>
          <w:color w:val="000000"/>
          <w:sz w:val="21"/>
        </w:rPr>
        <w:t>, 1-15.</w:t>
      </w:r>
    </w:p>
    <w:p>
      <w:pPr>
        <w:spacing w:line="360" w:lineRule="auto" w:before="0" w:after="60"/>
        <w:ind w:left="425" w:hanging="425"/>
        <w:jc w:val="both"/>
      </w:pPr>
      <w:r>
        <w:rPr>
          <w:rFonts w:ascii="Times New Roman" w:hAnsi="Times New Roman" w:eastAsia="宋体"/>
          <w:b w:val="0"/>
          <w:i w:val="0"/>
          <w:color w:val="000000"/>
          <w:sz w:val="21"/>
        </w:rPr>
        <w:t xml:space="preserve">Dehaene, S. (1992). Varieties of numerical abilities. </w:t>
      </w:r>
      <w:r>
        <w:rPr>
          <w:rFonts w:ascii="Times New Roman" w:hAnsi="Times New Roman" w:eastAsia="宋体"/>
          <w:b w:val="0"/>
          <w:i/>
          <w:color w:val="000000"/>
          <w:sz w:val="21"/>
        </w:rPr>
        <w:t>Cognition, 44</w:t>
      </w:r>
      <w:r>
        <w:rPr>
          <w:rFonts w:ascii="Times New Roman" w:hAnsi="Times New Roman" w:eastAsia="宋体"/>
          <w:b w:val="0"/>
          <w:i w:val="0"/>
          <w:color w:val="000000"/>
          <w:sz w:val="21"/>
        </w:rPr>
        <w:t>(1-2), 1-42.</w:t>
      </w:r>
    </w:p>
    <w:p>
      <w:pPr>
        <w:spacing w:line="360" w:lineRule="auto" w:before="0" w:after="60"/>
        <w:ind w:left="425" w:hanging="425"/>
        <w:jc w:val="both"/>
      </w:pPr>
      <w:r>
        <w:rPr>
          <w:rFonts w:ascii="Times New Roman" w:hAnsi="Times New Roman" w:eastAsia="宋体"/>
          <w:b w:val="0"/>
          <w:i w:val="0"/>
          <w:color w:val="000000"/>
          <w:sz w:val="21"/>
        </w:rPr>
        <w:t xml:space="preserve">Dehaene, S. (1997). </w:t>
      </w:r>
      <w:r>
        <w:rPr>
          <w:rFonts w:ascii="Times New Roman" w:hAnsi="Times New Roman" w:eastAsia="宋体"/>
          <w:b w:val="0"/>
          <w:i/>
          <w:color w:val="000000"/>
          <w:sz w:val="21"/>
        </w:rPr>
        <w:t>The number sense: How the mind creates mathematics</w:t>
      </w:r>
      <w:r>
        <w:rPr>
          <w:rFonts w:ascii="Times New Roman" w:hAnsi="Times New Roman" w:eastAsia="宋体"/>
          <w:b w:val="0"/>
          <w:i w:val="0"/>
          <w:color w:val="000000"/>
          <w:sz w:val="21"/>
        </w:rPr>
        <w:t>. Oxford University Press.</w:t>
      </w:r>
    </w:p>
    <w:p>
      <w:pPr>
        <w:spacing w:line="360" w:lineRule="auto" w:before="0" w:after="60"/>
        <w:ind w:left="425" w:hanging="425"/>
        <w:jc w:val="both"/>
      </w:pPr>
      <w:r>
        <w:rPr>
          <w:rFonts w:ascii="Times New Roman" w:hAnsi="Times New Roman" w:eastAsia="宋体"/>
          <w:b w:val="0"/>
          <w:i w:val="0"/>
          <w:color w:val="000000"/>
          <w:sz w:val="21"/>
        </w:rPr>
        <w:t xml:space="preserve">Dehaene, S. (2003). The neural basis of the Weber-Fechner law: A logarithmic mental number line. </w:t>
      </w:r>
      <w:r>
        <w:rPr>
          <w:rFonts w:ascii="Times New Roman" w:hAnsi="Times New Roman" w:eastAsia="宋体"/>
          <w:b w:val="0"/>
          <w:i/>
          <w:color w:val="000000"/>
          <w:sz w:val="21"/>
        </w:rPr>
        <w:t>Trends in Cognitive Sciences, 7</w:t>
      </w:r>
      <w:r>
        <w:rPr>
          <w:rFonts w:ascii="Times New Roman" w:hAnsi="Times New Roman" w:eastAsia="宋体"/>
          <w:b w:val="0"/>
          <w:i w:val="0"/>
          <w:color w:val="000000"/>
          <w:sz w:val="21"/>
        </w:rPr>
        <w:t>(4), 145-147.</w:t>
      </w:r>
    </w:p>
    <w:p>
      <w:pPr>
        <w:spacing w:line="360" w:lineRule="auto" w:before="0" w:after="60"/>
        <w:ind w:left="425" w:hanging="425"/>
        <w:jc w:val="both"/>
      </w:pPr>
      <w:r>
        <w:rPr>
          <w:rFonts w:ascii="Times New Roman" w:hAnsi="Times New Roman" w:eastAsia="宋体"/>
          <w:b w:val="0"/>
          <w:i w:val="0"/>
          <w:color w:val="000000"/>
          <w:sz w:val="21"/>
        </w:rPr>
        <w:t xml:space="preserve">Dehaene, S., &amp; Cohen, L. (1995). Towards an anatomical and functional model of number processing. </w:t>
      </w:r>
      <w:r>
        <w:rPr>
          <w:rFonts w:ascii="Times New Roman" w:hAnsi="Times New Roman" w:eastAsia="宋体"/>
          <w:b w:val="0"/>
          <w:i/>
          <w:color w:val="000000"/>
          <w:sz w:val="21"/>
        </w:rPr>
        <w:t>Mathematical Cognition, 1</w:t>
      </w:r>
      <w:r>
        <w:rPr>
          <w:rFonts w:ascii="Times New Roman" w:hAnsi="Times New Roman" w:eastAsia="宋体"/>
          <w:b w:val="0"/>
          <w:i w:val="0"/>
          <w:color w:val="000000"/>
          <w:sz w:val="21"/>
        </w:rPr>
        <w:t>(1), 83-120.</w:t>
      </w:r>
    </w:p>
    <w:p>
      <w:pPr>
        <w:spacing w:line="360" w:lineRule="auto" w:before="0" w:after="60"/>
        <w:ind w:left="425" w:hanging="425"/>
        <w:jc w:val="both"/>
      </w:pPr>
      <w:r>
        <w:rPr>
          <w:rFonts w:ascii="Times New Roman" w:hAnsi="Times New Roman" w:eastAsia="宋体"/>
          <w:b w:val="0"/>
          <w:i w:val="0"/>
          <w:color w:val="000000"/>
          <w:sz w:val="21"/>
        </w:rPr>
        <w:t xml:space="preserve">Dove, G. (2015). Three symbol ungrounding problems: Abstract concepts and the future of embodied cognition. </w:t>
      </w:r>
      <w:r>
        <w:rPr>
          <w:rFonts w:ascii="Times New Roman" w:hAnsi="Times New Roman" w:eastAsia="宋体"/>
          <w:b w:val="0"/>
          <w:i/>
          <w:color w:val="000000"/>
          <w:sz w:val="21"/>
        </w:rPr>
        <w:t>Psychonomic Bulletin &amp; Review, 23</w:t>
      </w:r>
      <w:r>
        <w:rPr>
          <w:rFonts w:ascii="Times New Roman" w:hAnsi="Times New Roman" w:eastAsia="宋体"/>
          <w:b w:val="0"/>
          <w:i w:val="0"/>
          <w:color w:val="000000"/>
          <w:sz w:val="21"/>
        </w:rPr>
        <w:t>(4), 1029-1037.</w:t>
      </w:r>
    </w:p>
    <w:p>
      <w:pPr>
        <w:spacing w:line="360" w:lineRule="auto" w:before="0" w:after="60"/>
        <w:ind w:left="425" w:hanging="425"/>
        <w:jc w:val="both"/>
      </w:pPr>
      <w:r>
        <w:rPr>
          <w:rFonts w:ascii="Times New Roman" w:hAnsi="Times New Roman" w:eastAsia="宋体"/>
          <w:b w:val="0"/>
          <w:i w:val="0"/>
          <w:color w:val="000000"/>
          <w:sz w:val="21"/>
        </w:rPr>
        <w:t xml:space="preserve">Duval, R. (2017). </w:t>
      </w:r>
      <w:r>
        <w:rPr>
          <w:rFonts w:ascii="Times New Roman" w:hAnsi="Times New Roman" w:eastAsia="宋体"/>
          <w:b w:val="0"/>
          <w:i/>
          <w:color w:val="000000"/>
          <w:sz w:val="21"/>
        </w:rPr>
        <w:t>Understanding the mathematical way of thinking: The registers of semiotic representations</w:t>
      </w:r>
      <w:r>
        <w:rPr>
          <w:rFonts w:ascii="Times New Roman" w:hAnsi="Times New Roman" w:eastAsia="宋体"/>
          <w:b w:val="0"/>
          <w:i w:val="0"/>
          <w:color w:val="000000"/>
          <w:sz w:val="21"/>
        </w:rPr>
        <w:t>. Springer.</w:t>
      </w:r>
    </w:p>
    <w:p>
      <w:pPr>
        <w:spacing w:line="360" w:lineRule="auto" w:before="0" w:after="60"/>
        <w:ind w:left="425" w:hanging="425"/>
        <w:jc w:val="both"/>
      </w:pPr>
      <w:r>
        <w:rPr>
          <w:rFonts w:ascii="Times New Roman" w:hAnsi="Times New Roman" w:eastAsia="宋体"/>
          <w:b w:val="0"/>
          <w:i w:val="0"/>
          <w:color w:val="000000"/>
          <w:sz w:val="21"/>
        </w:rPr>
        <w:t xml:space="preserve">Duval, R. (2020). Registers of semiotic representation. In S. Lerman (Ed.), </w:t>
      </w:r>
      <w:r>
        <w:rPr>
          <w:rFonts w:ascii="Times New Roman" w:hAnsi="Times New Roman" w:eastAsia="宋体"/>
          <w:b w:val="0"/>
          <w:i/>
          <w:color w:val="000000"/>
          <w:sz w:val="21"/>
        </w:rPr>
        <w:t>Encyclopedia of mathematics education</w:t>
      </w:r>
      <w:r>
        <w:rPr>
          <w:rFonts w:ascii="Times New Roman" w:hAnsi="Times New Roman" w:eastAsia="宋体"/>
          <w:b w:val="0"/>
          <w:i w:val="0"/>
          <w:color w:val="000000"/>
          <w:sz w:val="21"/>
        </w:rPr>
        <w:t xml:space="preserve"> (2nd ed., pp. 724-727). Springer.</w:t>
      </w:r>
    </w:p>
    <w:p>
      <w:pPr>
        <w:spacing w:line="360" w:lineRule="auto" w:before="0" w:after="60"/>
        <w:ind w:left="425" w:hanging="425"/>
        <w:jc w:val="both"/>
      </w:pPr>
      <w:r>
        <w:rPr>
          <w:rFonts w:ascii="Times New Roman" w:hAnsi="Times New Roman" w:eastAsia="宋体"/>
          <w:b w:val="0"/>
          <w:i w:val="0"/>
          <w:color w:val="000000"/>
          <w:sz w:val="21"/>
        </w:rPr>
        <w:t xml:space="preserve">Emerson, R. W., &amp; Cantlon, J. F. (2015). Continuity and change in children's longitudinal neural responses to numbers. </w:t>
      </w:r>
      <w:r>
        <w:rPr>
          <w:rFonts w:ascii="Times New Roman" w:hAnsi="Times New Roman" w:eastAsia="宋体"/>
          <w:b w:val="0"/>
          <w:i/>
          <w:color w:val="000000"/>
          <w:sz w:val="21"/>
        </w:rPr>
        <w:t>Developmental Science, 18</w:t>
      </w:r>
      <w:r>
        <w:rPr>
          <w:rFonts w:ascii="Times New Roman" w:hAnsi="Times New Roman" w:eastAsia="宋体"/>
          <w:b w:val="0"/>
          <w:i w:val="0"/>
          <w:color w:val="000000"/>
          <w:sz w:val="21"/>
        </w:rPr>
        <w:t>(3), 409-421.</w:t>
      </w:r>
    </w:p>
    <w:p>
      <w:pPr>
        <w:spacing w:line="360" w:lineRule="auto" w:before="0" w:after="60"/>
        <w:ind w:left="425" w:hanging="425"/>
        <w:jc w:val="both"/>
      </w:pPr>
      <w:r>
        <w:rPr>
          <w:rFonts w:ascii="Times New Roman" w:hAnsi="Times New Roman" w:eastAsia="宋体"/>
          <w:b w:val="0"/>
          <w:i w:val="0"/>
          <w:color w:val="000000"/>
          <w:sz w:val="21"/>
        </w:rPr>
        <w:t xml:space="preserve">Evans, N., &amp; Levinson, S. C. (2009). The myth of language universals: Language diversity and its importance for cognitive science. </w:t>
      </w:r>
      <w:r>
        <w:rPr>
          <w:rFonts w:ascii="Times New Roman" w:hAnsi="Times New Roman" w:eastAsia="宋体"/>
          <w:b w:val="0"/>
          <w:i/>
          <w:color w:val="000000"/>
          <w:sz w:val="21"/>
        </w:rPr>
        <w:t>Behavioral and Brain Sciences, 32</w:t>
      </w:r>
      <w:r>
        <w:rPr>
          <w:rFonts w:ascii="Times New Roman" w:hAnsi="Times New Roman" w:eastAsia="宋体"/>
          <w:b w:val="0"/>
          <w:i w:val="0"/>
          <w:color w:val="000000"/>
          <w:sz w:val="21"/>
        </w:rPr>
        <w:t>(5), 429-448.</w:t>
      </w:r>
    </w:p>
    <w:p>
      <w:pPr>
        <w:spacing w:line="360" w:lineRule="auto" w:before="0" w:after="60"/>
        <w:ind w:left="425" w:hanging="425"/>
        <w:jc w:val="both"/>
      </w:pPr>
      <w:r>
        <w:rPr>
          <w:rFonts w:ascii="Times New Roman" w:hAnsi="Times New Roman" w:eastAsia="宋体"/>
          <w:b w:val="0"/>
          <w:i w:val="0"/>
          <w:color w:val="000000"/>
          <w:sz w:val="21"/>
        </w:rPr>
        <w:t xml:space="preserve">Everett, C. (2013). Independent cross-cultural data reveal linguistic effects on basic numerical cognition. </w:t>
      </w:r>
      <w:r>
        <w:rPr>
          <w:rFonts w:ascii="Times New Roman" w:hAnsi="Times New Roman" w:eastAsia="宋体"/>
          <w:b w:val="0"/>
          <w:i/>
          <w:color w:val="000000"/>
          <w:sz w:val="21"/>
        </w:rPr>
        <w:t>Language and Cognition, 5</w:t>
      </w:r>
      <w:r>
        <w:rPr>
          <w:rFonts w:ascii="Times New Roman" w:hAnsi="Times New Roman" w:eastAsia="宋体"/>
          <w:b w:val="0"/>
          <w:i w:val="0"/>
          <w:color w:val="000000"/>
          <w:sz w:val="21"/>
        </w:rPr>
        <w:t>(1), 99-104.</w:t>
      </w:r>
    </w:p>
    <w:p>
      <w:pPr>
        <w:spacing w:line="360" w:lineRule="auto" w:before="0" w:after="60"/>
        <w:ind w:left="425" w:hanging="425"/>
        <w:jc w:val="both"/>
      </w:pPr>
      <w:r>
        <w:rPr>
          <w:rFonts w:ascii="Times New Roman" w:hAnsi="Times New Roman" w:eastAsia="宋体"/>
          <w:b w:val="0"/>
          <w:i w:val="0"/>
          <w:color w:val="000000"/>
          <w:sz w:val="21"/>
        </w:rPr>
        <w:t xml:space="preserve">Everett, D. L. (2005). Cultural constraints on grammar and cognition in Pirahã. </w:t>
      </w:r>
      <w:r>
        <w:rPr>
          <w:rFonts w:ascii="Times New Roman" w:hAnsi="Times New Roman" w:eastAsia="宋体"/>
          <w:b w:val="0"/>
          <w:i/>
          <w:color w:val="000000"/>
          <w:sz w:val="21"/>
        </w:rPr>
        <w:t>Current Anthropology, 46</w:t>
      </w:r>
      <w:r>
        <w:rPr>
          <w:rFonts w:ascii="Times New Roman" w:hAnsi="Times New Roman" w:eastAsia="宋体"/>
          <w:b w:val="0"/>
          <w:i w:val="0"/>
          <w:color w:val="000000"/>
          <w:sz w:val="21"/>
        </w:rPr>
        <w:t>(4), 621-646.</w:t>
      </w:r>
    </w:p>
    <w:p>
      <w:pPr>
        <w:spacing w:line="360" w:lineRule="auto" w:before="0" w:after="60"/>
        <w:ind w:left="425" w:hanging="425"/>
        <w:jc w:val="both"/>
      </w:pPr>
      <w:r>
        <w:rPr>
          <w:rFonts w:ascii="Times New Roman" w:hAnsi="Times New Roman" w:eastAsia="宋体"/>
          <w:b w:val="0"/>
          <w:i w:val="0"/>
          <w:color w:val="000000"/>
          <w:sz w:val="21"/>
        </w:rPr>
        <w:t xml:space="preserve">Geary, D. C., &amp; vanMarle, K. (2018). Growth of symbolic number knowledge accelerates after children understand cardinality. </w:t>
      </w:r>
      <w:r>
        <w:rPr>
          <w:rFonts w:ascii="Times New Roman" w:hAnsi="Times New Roman" w:eastAsia="宋体"/>
          <w:b w:val="0"/>
          <w:i/>
          <w:color w:val="000000"/>
          <w:sz w:val="21"/>
        </w:rPr>
        <w:t>Cognition, 177</w:t>
      </w:r>
      <w:r>
        <w:rPr>
          <w:rFonts w:ascii="Times New Roman" w:hAnsi="Times New Roman" w:eastAsia="宋体"/>
          <w:b w:val="0"/>
          <w:i w:val="0"/>
          <w:color w:val="000000"/>
          <w:sz w:val="21"/>
        </w:rPr>
        <w:t>, 69-78.</w:t>
      </w:r>
    </w:p>
    <w:p>
      <w:pPr>
        <w:spacing w:line="360" w:lineRule="auto" w:before="0" w:after="60"/>
        <w:ind w:left="425" w:hanging="425"/>
        <w:jc w:val="both"/>
      </w:pPr>
      <w:r>
        <w:rPr>
          <w:rFonts w:ascii="Times New Roman" w:hAnsi="Times New Roman" w:eastAsia="宋体"/>
          <w:b w:val="0"/>
          <w:i w:val="0"/>
          <w:color w:val="000000"/>
          <w:sz w:val="21"/>
        </w:rPr>
        <w:t xml:space="preserve">Gebuis, T., Cohen Kadosh, R., de Haan, E. H. F., &amp; Henik, A. (2008). Automatic quantity processing in 5-year olds and adults. </w:t>
      </w:r>
      <w:r>
        <w:rPr>
          <w:rFonts w:ascii="Times New Roman" w:hAnsi="Times New Roman" w:eastAsia="宋体"/>
          <w:b w:val="0"/>
          <w:i/>
          <w:color w:val="000000"/>
          <w:sz w:val="21"/>
        </w:rPr>
        <w:t>Cognitive Processing, 9</w:t>
      </w:r>
      <w:r>
        <w:rPr>
          <w:rFonts w:ascii="Times New Roman" w:hAnsi="Times New Roman" w:eastAsia="宋体"/>
          <w:b w:val="0"/>
          <w:i w:val="0"/>
          <w:color w:val="000000"/>
          <w:sz w:val="21"/>
        </w:rPr>
        <w:t>(3), 207-213.</w:t>
      </w:r>
    </w:p>
    <w:p>
      <w:pPr>
        <w:spacing w:line="360" w:lineRule="auto" w:before="0" w:after="60"/>
        <w:ind w:left="425" w:hanging="425"/>
        <w:jc w:val="both"/>
      </w:pPr>
      <w:r>
        <w:rPr>
          <w:rFonts w:ascii="Times New Roman" w:hAnsi="Times New Roman" w:eastAsia="宋体"/>
          <w:b w:val="0"/>
          <w:i w:val="0"/>
          <w:color w:val="000000"/>
          <w:sz w:val="21"/>
        </w:rPr>
        <w:t xml:space="preserve">Gobel, S. M. (2018). How culturally predominant reading direction and number word construction influence numerical cognition and mathematics performance. In D. B. Berch et al. (Eds.), </w:t>
      </w:r>
      <w:r>
        <w:rPr>
          <w:rFonts w:ascii="Times New Roman" w:hAnsi="Times New Roman" w:eastAsia="宋体"/>
          <w:b w:val="0"/>
          <w:i/>
          <w:color w:val="000000"/>
          <w:sz w:val="21"/>
        </w:rPr>
        <w:t>Language and culture in mathematical cognition</w:t>
      </w:r>
      <w:r>
        <w:rPr>
          <w:rFonts w:ascii="Times New Roman" w:hAnsi="Times New Roman" w:eastAsia="宋体"/>
          <w:b w:val="0"/>
          <w:i w:val="0"/>
          <w:color w:val="000000"/>
          <w:sz w:val="21"/>
        </w:rPr>
        <w:t xml:space="preserve"> (pp. 229-256). Academic Press.</w:t>
      </w:r>
    </w:p>
    <w:p>
      <w:pPr>
        <w:spacing w:line="360" w:lineRule="auto" w:before="0" w:after="60"/>
        <w:ind w:left="425" w:hanging="425"/>
        <w:jc w:val="both"/>
      </w:pPr>
      <w:r>
        <w:rPr>
          <w:rFonts w:ascii="Times New Roman" w:hAnsi="Times New Roman" w:eastAsia="宋体"/>
          <w:b w:val="0"/>
          <w:i w:val="0"/>
          <w:color w:val="000000"/>
          <w:sz w:val="21"/>
        </w:rPr>
        <w:t xml:space="preserve">Grabner, R. H. (2009). Expertise in symbol-referent mapping. </w:t>
      </w:r>
      <w:r>
        <w:rPr>
          <w:rFonts w:ascii="Times New Roman" w:hAnsi="Times New Roman" w:eastAsia="宋体"/>
          <w:b w:val="0"/>
          <w:i/>
          <w:color w:val="000000"/>
          <w:sz w:val="21"/>
        </w:rPr>
        <w:t>Behavioral and Brain Sciences, 32</w:t>
      </w:r>
      <w:r>
        <w:rPr>
          <w:rFonts w:ascii="Times New Roman" w:hAnsi="Times New Roman" w:eastAsia="宋体"/>
          <w:b w:val="0"/>
          <w:i w:val="0"/>
          <w:color w:val="000000"/>
          <w:sz w:val="21"/>
        </w:rPr>
        <w:t>(3-4), 332-333.</w:t>
      </w:r>
    </w:p>
    <w:p>
      <w:pPr>
        <w:spacing w:line="360" w:lineRule="auto" w:before="0" w:after="60"/>
        <w:ind w:left="425" w:hanging="425"/>
        <w:jc w:val="both"/>
      </w:pPr>
      <w:r>
        <w:rPr>
          <w:rFonts w:ascii="Times New Roman" w:hAnsi="Times New Roman" w:eastAsia="宋体"/>
          <w:b w:val="0"/>
          <w:i w:val="0"/>
          <w:color w:val="000000"/>
          <w:sz w:val="21"/>
        </w:rPr>
        <w:t xml:space="preserve">Hannagan, T., Amedi, A., Cohen, L., Dehaene-Lambertz, G., &amp; Dehaene, S. (2015). Origins of the specialization for letters and numbers in ventral occipitotemporal cortex. </w:t>
      </w:r>
      <w:r>
        <w:rPr>
          <w:rFonts w:ascii="Times New Roman" w:hAnsi="Times New Roman" w:eastAsia="宋体"/>
          <w:b w:val="0"/>
          <w:i/>
          <w:color w:val="000000"/>
          <w:sz w:val="21"/>
        </w:rPr>
        <w:t>Trends in Cognitive Sciences, 19</w:t>
      </w:r>
      <w:r>
        <w:rPr>
          <w:rFonts w:ascii="Times New Roman" w:hAnsi="Times New Roman" w:eastAsia="宋体"/>
          <w:b w:val="0"/>
          <w:i w:val="0"/>
          <w:color w:val="000000"/>
          <w:sz w:val="21"/>
        </w:rPr>
        <w:t>(7), 375-383.</w:t>
      </w:r>
    </w:p>
    <w:p>
      <w:pPr>
        <w:spacing w:line="360" w:lineRule="auto" w:before="0" w:after="60"/>
        <w:ind w:left="425" w:hanging="425"/>
        <w:jc w:val="both"/>
      </w:pPr>
      <w:r>
        <w:rPr>
          <w:rFonts w:ascii="Times New Roman" w:hAnsi="Times New Roman" w:eastAsia="宋体"/>
          <w:b w:val="0"/>
          <w:i w:val="0"/>
          <w:color w:val="000000"/>
          <w:sz w:val="21"/>
        </w:rPr>
        <w:t xml:space="preserve">Harnad, S. (1990). The symbol grounding problem. </w:t>
      </w:r>
      <w:r>
        <w:rPr>
          <w:rFonts w:ascii="Times New Roman" w:hAnsi="Times New Roman" w:eastAsia="宋体"/>
          <w:b w:val="0"/>
          <w:i/>
          <w:color w:val="000000"/>
          <w:sz w:val="21"/>
        </w:rPr>
        <w:t>Physica D: Nonlinear Phenomena, 42</w:t>
      </w:r>
      <w:r>
        <w:rPr>
          <w:rFonts w:ascii="Times New Roman" w:hAnsi="Times New Roman" w:eastAsia="宋体"/>
          <w:b w:val="0"/>
          <w:i w:val="0"/>
          <w:color w:val="000000"/>
          <w:sz w:val="21"/>
        </w:rPr>
        <w:t>(1-3), 335-346.</w:t>
      </w:r>
    </w:p>
    <w:p>
      <w:pPr>
        <w:spacing w:line="360" w:lineRule="auto" w:before="0" w:after="60"/>
        <w:ind w:left="425" w:hanging="425"/>
        <w:jc w:val="both"/>
      </w:pPr>
      <w:r>
        <w:rPr>
          <w:rFonts w:ascii="Times New Roman" w:hAnsi="Times New Roman" w:eastAsia="宋体"/>
          <w:b w:val="0"/>
          <w:i w:val="0"/>
          <w:color w:val="000000"/>
          <w:sz w:val="21"/>
        </w:rPr>
        <w:t xml:space="preserve">Iverson, K. E. (1980). Notation as a tool of thought. </w:t>
      </w:r>
      <w:r>
        <w:rPr>
          <w:rFonts w:ascii="Times New Roman" w:hAnsi="Times New Roman" w:eastAsia="宋体"/>
          <w:b w:val="0"/>
          <w:i/>
          <w:color w:val="000000"/>
          <w:sz w:val="21"/>
        </w:rPr>
        <w:t>Communications of the ACM, 23</w:t>
      </w:r>
      <w:r>
        <w:rPr>
          <w:rFonts w:ascii="Times New Roman" w:hAnsi="Times New Roman" w:eastAsia="宋体"/>
          <w:b w:val="0"/>
          <w:i w:val="0"/>
          <w:color w:val="000000"/>
          <w:sz w:val="21"/>
        </w:rPr>
        <w:t>(8), 444-465.</w:t>
      </w:r>
    </w:p>
    <w:p>
      <w:pPr>
        <w:spacing w:line="360" w:lineRule="auto" w:before="0" w:after="60"/>
        <w:ind w:left="425" w:hanging="425"/>
        <w:jc w:val="both"/>
      </w:pPr>
      <w:r>
        <w:rPr>
          <w:rFonts w:ascii="Times New Roman" w:hAnsi="Times New Roman" w:eastAsia="宋体"/>
          <w:b w:val="0"/>
          <w:i w:val="0"/>
          <w:color w:val="000000"/>
          <w:sz w:val="21"/>
        </w:rPr>
        <w:t xml:space="preserve">Kleiner, I. (2007). </w:t>
      </w:r>
      <w:r>
        <w:rPr>
          <w:rFonts w:ascii="Times New Roman" w:hAnsi="Times New Roman" w:eastAsia="宋体"/>
          <w:b w:val="0"/>
          <w:i/>
          <w:color w:val="000000"/>
          <w:sz w:val="21"/>
        </w:rPr>
        <w:t>A history of abstract algebra</w:t>
      </w:r>
      <w:r>
        <w:rPr>
          <w:rFonts w:ascii="Times New Roman" w:hAnsi="Times New Roman" w:eastAsia="宋体"/>
          <w:b w:val="0"/>
          <w:i w:val="0"/>
          <w:color w:val="000000"/>
          <w:sz w:val="21"/>
        </w:rPr>
        <w:t>. Birkhäuser.</w:t>
      </w:r>
    </w:p>
    <w:p>
      <w:pPr>
        <w:spacing w:line="360" w:lineRule="auto" w:before="0" w:after="60"/>
        <w:ind w:left="425" w:hanging="425"/>
        <w:jc w:val="both"/>
      </w:pPr>
      <w:r>
        <w:rPr>
          <w:rFonts w:ascii="Times New Roman" w:hAnsi="Times New Roman" w:eastAsia="宋体"/>
          <w:b w:val="0"/>
          <w:i w:val="0"/>
          <w:color w:val="000000"/>
          <w:sz w:val="21"/>
        </w:rPr>
        <w:t xml:space="preserve">Konidaris, G., Kaelbling, L. P., &amp; Lozano-Perez, T. (2018). From skills to symbols: Learning symbolic representations for abstract high-level planning. </w:t>
      </w:r>
      <w:r>
        <w:rPr>
          <w:rFonts w:ascii="Times New Roman" w:hAnsi="Times New Roman" w:eastAsia="宋体"/>
          <w:b w:val="0"/>
          <w:i/>
          <w:color w:val="000000"/>
          <w:sz w:val="21"/>
        </w:rPr>
        <w:t>Journal of Artificial Intelligence Research, 61</w:t>
      </w:r>
      <w:r>
        <w:rPr>
          <w:rFonts w:ascii="Times New Roman" w:hAnsi="Times New Roman" w:eastAsia="宋体"/>
          <w:b w:val="0"/>
          <w:i w:val="0"/>
          <w:color w:val="000000"/>
          <w:sz w:val="21"/>
        </w:rPr>
        <w:t>, 215-289.</w:t>
      </w:r>
    </w:p>
    <w:p>
      <w:pPr>
        <w:spacing w:line="360" w:lineRule="auto" w:before="0" w:after="60"/>
        <w:ind w:left="425" w:hanging="425"/>
        <w:jc w:val="both"/>
      </w:pPr>
      <w:r>
        <w:rPr>
          <w:rFonts w:ascii="Times New Roman" w:hAnsi="Times New Roman" w:eastAsia="宋体"/>
          <w:b w:val="0"/>
          <w:i w:val="0"/>
          <w:color w:val="000000"/>
          <w:sz w:val="21"/>
        </w:rPr>
        <w:t xml:space="preserve">Krajcsi, A., &amp; Szabo, E. (2012). The role of number notation: Sign-value notation number processing is easier than place-value. </w:t>
      </w:r>
      <w:r>
        <w:rPr>
          <w:rFonts w:ascii="Times New Roman" w:hAnsi="Times New Roman" w:eastAsia="宋体"/>
          <w:b w:val="0"/>
          <w:i/>
          <w:color w:val="000000"/>
          <w:sz w:val="21"/>
        </w:rPr>
        <w:t>Frontiers in Psychology, 3</w:t>
      </w:r>
      <w:r>
        <w:rPr>
          <w:rFonts w:ascii="Times New Roman" w:hAnsi="Times New Roman" w:eastAsia="宋体"/>
          <w:b w:val="0"/>
          <w:i w:val="0"/>
          <w:color w:val="000000"/>
          <w:sz w:val="21"/>
        </w:rPr>
        <w:t>, 463.</w:t>
      </w:r>
    </w:p>
    <w:p>
      <w:pPr>
        <w:spacing w:line="360" w:lineRule="auto" w:before="0" w:after="60"/>
        <w:ind w:left="425" w:hanging="425"/>
        <w:jc w:val="both"/>
      </w:pPr>
      <w:r>
        <w:rPr>
          <w:rFonts w:ascii="Times New Roman" w:hAnsi="Times New Roman" w:eastAsia="宋体"/>
          <w:b w:val="0"/>
          <w:i w:val="0"/>
          <w:color w:val="000000"/>
          <w:sz w:val="21"/>
        </w:rPr>
        <w:t xml:space="preserve">Kucian, K., Loenneker, T., Martin, E., &amp; von Aster, M. (2011). Non-symbolic numerical distance effect in children with and without developmental dyscalculia: A parametric fMRI study. </w:t>
      </w:r>
      <w:r>
        <w:rPr>
          <w:rFonts w:ascii="Times New Roman" w:hAnsi="Times New Roman" w:eastAsia="宋体"/>
          <w:b w:val="0"/>
          <w:i/>
          <w:color w:val="000000"/>
          <w:sz w:val="21"/>
        </w:rPr>
        <w:t>Developmental Neuropsychology, 36</w:t>
      </w:r>
      <w:r>
        <w:rPr>
          <w:rFonts w:ascii="Times New Roman" w:hAnsi="Times New Roman" w:eastAsia="宋体"/>
          <w:b w:val="0"/>
          <w:i w:val="0"/>
          <w:color w:val="000000"/>
          <w:sz w:val="21"/>
        </w:rPr>
        <w:t>(3), 349-370.</w:t>
      </w:r>
    </w:p>
    <w:p>
      <w:pPr>
        <w:spacing w:line="360" w:lineRule="auto" w:before="0" w:after="60"/>
        <w:ind w:left="425" w:hanging="425"/>
        <w:jc w:val="both"/>
      </w:pPr>
      <w:r>
        <w:rPr>
          <w:rFonts w:ascii="Times New Roman" w:hAnsi="Times New Roman" w:eastAsia="宋体"/>
          <w:b w:val="0"/>
          <w:i w:val="0"/>
          <w:color w:val="000000"/>
          <w:sz w:val="21"/>
        </w:rPr>
        <w:t xml:space="preserve">Lakoff, G., &amp; Núñez, R. E. (2000). </w:t>
      </w:r>
      <w:r>
        <w:rPr>
          <w:rFonts w:ascii="Times New Roman" w:hAnsi="Times New Roman" w:eastAsia="宋体"/>
          <w:b w:val="0"/>
          <w:i/>
          <w:color w:val="000000"/>
          <w:sz w:val="21"/>
        </w:rPr>
        <w:t>Where mathematics comes from: How the embodied mind brings mathematics into being</w:t>
      </w:r>
      <w:r>
        <w:rPr>
          <w:rFonts w:ascii="Times New Roman" w:hAnsi="Times New Roman" w:eastAsia="宋体"/>
          <w:b w:val="0"/>
          <w:i w:val="0"/>
          <w:color w:val="000000"/>
          <w:sz w:val="21"/>
        </w:rPr>
        <w:t>. Basic Books.</w:t>
      </w:r>
    </w:p>
    <w:p>
      <w:pPr>
        <w:spacing w:line="360" w:lineRule="auto" w:before="0" w:after="60"/>
        <w:ind w:left="425" w:hanging="425"/>
        <w:jc w:val="both"/>
      </w:pPr>
      <w:r>
        <w:rPr>
          <w:rFonts w:ascii="Times New Roman" w:hAnsi="Times New Roman" w:eastAsia="宋体"/>
          <w:b w:val="0"/>
          <w:i w:val="0"/>
          <w:color w:val="000000"/>
          <w:sz w:val="21"/>
        </w:rPr>
        <w:t xml:space="preserve">Landy, D., Allen, C., &amp; Zednik, C. (2014). A perceptual account of symbolic reasoning. </w:t>
      </w:r>
      <w:r>
        <w:rPr>
          <w:rFonts w:ascii="Times New Roman" w:hAnsi="Times New Roman" w:eastAsia="宋体"/>
          <w:b w:val="0"/>
          <w:i/>
          <w:color w:val="000000"/>
          <w:sz w:val="21"/>
        </w:rPr>
        <w:t>Frontiers in Psychology, 5</w:t>
      </w:r>
      <w:r>
        <w:rPr>
          <w:rFonts w:ascii="Times New Roman" w:hAnsi="Times New Roman" w:eastAsia="宋体"/>
          <w:b w:val="0"/>
          <w:i w:val="0"/>
          <w:color w:val="000000"/>
          <w:sz w:val="21"/>
        </w:rPr>
        <w:t>, 275.</w:t>
      </w:r>
    </w:p>
    <w:p>
      <w:pPr>
        <w:spacing w:line="360" w:lineRule="auto" w:before="0" w:after="60"/>
        <w:ind w:left="425" w:hanging="425"/>
        <w:jc w:val="both"/>
      </w:pPr>
      <w:r>
        <w:rPr>
          <w:rFonts w:ascii="Times New Roman" w:hAnsi="Times New Roman" w:eastAsia="宋体"/>
          <w:b w:val="0"/>
          <w:i w:val="0"/>
          <w:color w:val="000000"/>
          <w:sz w:val="21"/>
        </w:rPr>
        <w:t xml:space="preserve">Landy, D., Marghetis, T., &amp; Goldstone, R. L. (2016). Mastering algebra retrains the visual system to perceive hierarchical structure in equations. </w:t>
      </w:r>
      <w:r>
        <w:rPr>
          <w:rFonts w:ascii="Times New Roman" w:hAnsi="Times New Roman" w:eastAsia="宋体"/>
          <w:b w:val="0"/>
          <w:i/>
          <w:color w:val="000000"/>
          <w:sz w:val="21"/>
        </w:rPr>
        <w:t>Cognitive Research: Principles and Implications, 1</w:t>
      </w:r>
      <w:r>
        <w:rPr>
          <w:rFonts w:ascii="Times New Roman" w:hAnsi="Times New Roman" w:eastAsia="宋体"/>
          <w:b w:val="0"/>
          <w:i w:val="0"/>
          <w:color w:val="000000"/>
          <w:sz w:val="21"/>
        </w:rPr>
        <w:t>, 20.</w:t>
      </w:r>
    </w:p>
    <w:p>
      <w:pPr>
        <w:spacing w:line="360" w:lineRule="auto" w:before="0" w:after="60"/>
        <w:ind w:left="425" w:hanging="425"/>
        <w:jc w:val="both"/>
      </w:pPr>
      <w:r>
        <w:rPr>
          <w:rFonts w:ascii="Times New Roman" w:hAnsi="Times New Roman" w:eastAsia="宋体"/>
          <w:b w:val="0"/>
          <w:i w:val="0"/>
          <w:color w:val="000000"/>
          <w:sz w:val="21"/>
        </w:rPr>
        <w:t xml:space="preserve">Lo, S., &amp; Andrews, S. (2022). The effects of mental abacus expertise on working memory, mental representations and calculation strategies. </w:t>
      </w:r>
      <w:r>
        <w:rPr>
          <w:rFonts w:ascii="Times New Roman" w:hAnsi="Times New Roman" w:eastAsia="宋体"/>
          <w:b w:val="0"/>
          <w:i/>
          <w:color w:val="000000"/>
          <w:sz w:val="21"/>
        </w:rPr>
        <w:t>Journal of Numerical Cognition, 8</w:t>
      </w:r>
      <w:r>
        <w:rPr>
          <w:rFonts w:ascii="Times New Roman" w:hAnsi="Times New Roman" w:eastAsia="宋体"/>
          <w:b w:val="0"/>
          <w:i w:val="0"/>
          <w:color w:val="000000"/>
          <w:sz w:val="21"/>
        </w:rPr>
        <w:t>(1), 89-122.</w:t>
      </w:r>
    </w:p>
    <w:p>
      <w:pPr>
        <w:spacing w:line="360" w:lineRule="auto" w:before="0" w:after="60"/>
        <w:ind w:left="425" w:hanging="425"/>
        <w:jc w:val="both"/>
      </w:pPr>
      <w:r>
        <w:rPr>
          <w:rFonts w:ascii="Times New Roman" w:hAnsi="Times New Roman" w:eastAsia="宋体"/>
          <w:b w:val="0"/>
          <w:i w:val="0"/>
          <w:color w:val="000000"/>
          <w:sz w:val="21"/>
        </w:rPr>
        <w:t xml:space="preserve">Marchand, E., &amp; Barner, D. (2018). Analogical mapping in numerical development. In D. B. Berch et al. (Eds.), </w:t>
      </w:r>
      <w:r>
        <w:rPr>
          <w:rFonts w:ascii="Times New Roman" w:hAnsi="Times New Roman" w:eastAsia="宋体"/>
          <w:b w:val="0"/>
          <w:i/>
          <w:color w:val="000000"/>
          <w:sz w:val="21"/>
        </w:rPr>
        <w:t>Language and culture in mathematical cognition</w:t>
      </w:r>
      <w:r>
        <w:rPr>
          <w:rFonts w:ascii="Times New Roman" w:hAnsi="Times New Roman" w:eastAsia="宋体"/>
          <w:b w:val="0"/>
          <w:i w:val="0"/>
          <w:color w:val="000000"/>
          <w:sz w:val="21"/>
        </w:rPr>
        <w:t xml:space="preserve"> (pp. 31-47). Academic Press.</w:t>
      </w:r>
    </w:p>
    <w:p>
      <w:pPr>
        <w:spacing w:line="360" w:lineRule="auto" w:before="0" w:after="60"/>
        <w:ind w:left="425" w:hanging="425"/>
        <w:jc w:val="both"/>
      </w:pPr>
      <w:r>
        <w:rPr>
          <w:rFonts w:ascii="Times New Roman" w:hAnsi="Times New Roman" w:eastAsia="宋体"/>
          <w:b w:val="0"/>
          <w:i w:val="0"/>
          <w:color w:val="000000"/>
          <w:sz w:val="21"/>
        </w:rPr>
        <w:t xml:space="preserve">Matejko, A. A., Hutchison, J. E., &amp; Ansari, D. (2019). Developmental specialization of the left intraparietal sulcus for symbolic ordinal processing. </w:t>
      </w:r>
      <w:r>
        <w:rPr>
          <w:rFonts w:ascii="Times New Roman" w:hAnsi="Times New Roman" w:eastAsia="宋体"/>
          <w:b w:val="0"/>
          <w:i/>
          <w:color w:val="000000"/>
          <w:sz w:val="21"/>
        </w:rPr>
        <w:t>Cortex, 114</w:t>
      </w:r>
      <w:r>
        <w:rPr>
          <w:rFonts w:ascii="Times New Roman" w:hAnsi="Times New Roman" w:eastAsia="宋体"/>
          <w:b w:val="0"/>
          <w:i w:val="0"/>
          <w:color w:val="000000"/>
          <w:sz w:val="21"/>
        </w:rPr>
        <w:t>, 74-88.</w:t>
      </w:r>
    </w:p>
    <w:p>
      <w:pPr>
        <w:spacing w:line="360" w:lineRule="auto" w:before="0" w:after="60"/>
        <w:ind w:left="425" w:hanging="425"/>
        <w:jc w:val="both"/>
      </w:pPr>
      <w:r>
        <w:rPr>
          <w:rFonts w:ascii="Times New Roman" w:hAnsi="Times New Roman" w:eastAsia="宋体"/>
          <w:b w:val="0"/>
          <w:i w:val="0"/>
          <w:color w:val="000000"/>
          <w:sz w:val="21"/>
        </w:rPr>
        <w:t xml:space="preserve">Mazur, J. (2014). </w:t>
      </w:r>
      <w:r>
        <w:rPr>
          <w:rFonts w:ascii="Times New Roman" w:hAnsi="Times New Roman" w:eastAsia="宋体"/>
          <w:b w:val="0"/>
          <w:i/>
          <w:color w:val="000000"/>
          <w:sz w:val="21"/>
        </w:rPr>
        <w:t>Enlightening symbols: A short history of mathematical notation and its hidden powers</w:t>
      </w:r>
      <w:r>
        <w:rPr>
          <w:rFonts w:ascii="Times New Roman" w:hAnsi="Times New Roman" w:eastAsia="宋体"/>
          <w:b w:val="0"/>
          <w:i w:val="0"/>
          <w:color w:val="000000"/>
          <w:sz w:val="21"/>
        </w:rPr>
        <w:t>. Princeton University Press.</w:t>
      </w:r>
    </w:p>
    <w:p>
      <w:pPr>
        <w:spacing w:line="360" w:lineRule="auto" w:before="0" w:after="60"/>
        <w:ind w:left="425" w:hanging="425"/>
        <w:jc w:val="both"/>
      </w:pPr>
      <w:r>
        <w:rPr>
          <w:rFonts w:ascii="Times New Roman" w:hAnsi="Times New Roman" w:eastAsia="宋体"/>
          <w:b w:val="0"/>
          <w:i w:val="0"/>
          <w:color w:val="000000"/>
          <w:sz w:val="21"/>
        </w:rPr>
        <w:t xml:space="preserve">Merkley, R., &amp; Ansari, D. (2016). Why numerical symbols count in the development of mathematical skills: Evidence from brain and behavior. </w:t>
      </w:r>
      <w:r>
        <w:rPr>
          <w:rFonts w:ascii="Times New Roman" w:hAnsi="Times New Roman" w:eastAsia="宋体"/>
          <w:b w:val="0"/>
          <w:i/>
          <w:color w:val="000000"/>
          <w:sz w:val="21"/>
        </w:rPr>
        <w:t>Current Opinion in Behavioral Sciences, 10</w:t>
      </w:r>
      <w:r>
        <w:rPr>
          <w:rFonts w:ascii="Times New Roman" w:hAnsi="Times New Roman" w:eastAsia="宋体"/>
          <w:b w:val="0"/>
          <w:i w:val="0"/>
          <w:color w:val="000000"/>
          <w:sz w:val="21"/>
        </w:rPr>
        <w:t>, 14-20.</w:t>
      </w:r>
    </w:p>
    <w:p>
      <w:pPr>
        <w:spacing w:line="360" w:lineRule="auto" w:before="0" w:after="60"/>
        <w:ind w:left="425" w:hanging="425"/>
        <w:jc w:val="both"/>
      </w:pPr>
      <w:r>
        <w:rPr>
          <w:rFonts w:ascii="Times New Roman" w:hAnsi="Times New Roman" w:eastAsia="宋体"/>
          <w:b w:val="0"/>
          <w:i w:val="0"/>
          <w:color w:val="000000"/>
          <w:sz w:val="21"/>
        </w:rPr>
        <w:t xml:space="preserve">Miura, I. T., Kim, C. C., Chang, C. M., &amp; Okamoto, Y. (1988). Effects of language characteristics on children's cognitive representation of number: Cross-national comparisons. </w:t>
      </w:r>
      <w:r>
        <w:rPr>
          <w:rFonts w:ascii="Times New Roman" w:hAnsi="Times New Roman" w:eastAsia="宋体"/>
          <w:b w:val="0"/>
          <w:i/>
          <w:color w:val="000000"/>
          <w:sz w:val="21"/>
        </w:rPr>
        <w:t>Child Development, 59</w:t>
      </w:r>
      <w:r>
        <w:rPr>
          <w:rFonts w:ascii="Times New Roman" w:hAnsi="Times New Roman" w:eastAsia="宋体"/>
          <w:b w:val="0"/>
          <w:i w:val="0"/>
          <w:color w:val="000000"/>
          <w:sz w:val="21"/>
        </w:rPr>
        <w:t>(6), 1445-1450.</w:t>
      </w:r>
    </w:p>
    <w:p>
      <w:pPr>
        <w:spacing w:line="360" w:lineRule="auto" w:before="0" w:after="60"/>
        <w:ind w:left="425" w:hanging="425"/>
        <w:jc w:val="both"/>
      </w:pPr>
      <w:r>
        <w:rPr>
          <w:rFonts w:ascii="Times New Roman" w:hAnsi="Times New Roman" w:eastAsia="宋体"/>
          <w:b w:val="0"/>
          <w:i w:val="0"/>
          <w:color w:val="000000"/>
          <w:sz w:val="21"/>
        </w:rPr>
        <w:t xml:space="preserve">Morrissey, K. R., Hallett, D., &amp; Li, C. (2016). Cross-cultural and intra-cultural differences in finger-counting habits and number magnitude processing. </w:t>
      </w:r>
      <w:r>
        <w:rPr>
          <w:rFonts w:ascii="Times New Roman" w:hAnsi="Times New Roman" w:eastAsia="宋体"/>
          <w:b w:val="0"/>
          <w:i/>
          <w:color w:val="000000"/>
          <w:sz w:val="21"/>
        </w:rPr>
        <w:t>Journal of Numerical Cognition, 2</w:t>
      </w:r>
      <w:r>
        <w:rPr>
          <w:rFonts w:ascii="Times New Roman" w:hAnsi="Times New Roman" w:eastAsia="宋体"/>
          <w:b w:val="0"/>
          <w:i w:val="0"/>
          <w:color w:val="000000"/>
          <w:sz w:val="21"/>
        </w:rPr>
        <w:t>(1), 1-19.</w:t>
      </w:r>
    </w:p>
    <w:p>
      <w:pPr>
        <w:spacing w:line="360" w:lineRule="auto" w:before="0" w:after="60"/>
        <w:ind w:left="425" w:hanging="425"/>
        <w:jc w:val="both"/>
      </w:pPr>
      <w:r>
        <w:rPr>
          <w:rFonts w:ascii="Times New Roman" w:hAnsi="Times New Roman" w:eastAsia="宋体"/>
          <w:b w:val="0"/>
          <w:i w:val="0"/>
          <w:color w:val="000000"/>
          <w:sz w:val="21"/>
        </w:rPr>
        <w:t xml:space="preserve">Nathan, M. J., &amp; Walkington, C. (2017). Grounded and embodied mathematical cognition. </w:t>
      </w:r>
      <w:r>
        <w:rPr>
          <w:rFonts w:ascii="Times New Roman" w:hAnsi="Times New Roman" w:eastAsia="宋体"/>
          <w:b w:val="0"/>
          <w:i/>
          <w:color w:val="000000"/>
          <w:sz w:val="21"/>
        </w:rPr>
        <w:t>Cognitive Research: Principles and Implications, 2</w:t>
      </w:r>
      <w:r>
        <w:rPr>
          <w:rFonts w:ascii="Times New Roman" w:hAnsi="Times New Roman" w:eastAsia="宋体"/>
          <w:b w:val="0"/>
          <w:i w:val="0"/>
          <w:color w:val="000000"/>
          <w:sz w:val="21"/>
        </w:rPr>
        <w:t>, 1-20.</w:t>
      </w:r>
    </w:p>
    <w:p>
      <w:pPr>
        <w:spacing w:line="360" w:lineRule="auto" w:before="0" w:after="60"/>
        <w:ind w:left="425" w:hanging="425"/>
        <w:jc w:val="both"/>
      </w:pPr>
      <w:r>
        <w:rPr>
          <w:rFonts w:ascii="Times New Roman" w:hAnsi="Times New Roman" w:eastAsia="宋体"/>
          <w:b w:val="0"/>
          <w:i w:val="0"/>
          <w:color w:val="000000"/>
          <w:sz w:val="21"/>
        </w:rPr>
        <w:t xml:space="preserve">Nieder, A., &amp; Dehaene, S. (2009). Representation of number in the brain. </w:t>
      </w:r>
      <w:r>
        <w:rPr>
          <w:rFonts w:ascii="Times New Roman" w:hAnsi="Times New Roman" w:eastAsia="宋体"/>
          <w:b w:val="0"/>
          <w:i/>
          <w:color w:val="000000"/>
          <w:sz w:val="21"/>
        </w:rPr>
        <w:t>Annual Review of Neuroscience, 32</w:t>
      </w:r>
      <w:r>
        <w:rPr>
          <w:rFonts w:ascii="Times New Roman" w:hAnsi="Times New Roman" w:eastAsia="宋体"/>
          <w:b w:val="0"/>
          <w:i w:val="0"/>
          <w:color w:val="000000"/>
          <w:sz w:val="21"/>
        </w:rPr>
        <w:t>, 83-104.</w:t>
      </w:r>
    </w:p>
    <w:p>
      <w:pPr>
        <w:spacing w:line="360" w:lineRule="auto" w:before="0" w:after="60"/>
        <w:ind w:left="425" w:hanging="425"/>
        <w:jc w:val="both"/>
      </w:pPr>
      <w:r>
        <w:rPr>
          <w:rFonts w:ascii="Times New Roman" w:hAnsi="Times New Roman" w:eastAsia="宋体"/>
          <w:b w:val="0"/>
          <w:i w:val="0"/>
          <w:color w:val="000000"/>
          <w:sz w:val="21"/>
        </w:rPr>
        <w:t xml:space="preserve">Peters, L., Bulthe, J., Daniels, N., Op de Beeck, H., &amp; De Smedt, B. (2018). Dyscalculia and dyslexia: Different behavioral, yet similar brain activity profiles during arithmetic. </w:t>
      </w:r>
      <w:r>
        <w:rPr>
          <w:rFonts w:ascii="Times New Roman" w:hAnsi="Times New Roman" w:eastAsia="宋体"/>
          <w:b w:val="0"/>
          <w:i/>
          <w:color w:val="000000"/>
          <w:sz w:val="21"/>
        </w:rPr>
        <w:t>NeuroImage: Clinical, 18</w:t>
      </w:r>
      <w:r>
        <w:rPr>
          <w:rFonts w:ascii="Times New Roman" w:hAnsi="Times New Roman" w:eastAsia="宋体"/>
          <w:b w:val="0"/>
          <w:i w:val="0"/>
          <w:color w:val="000000"/>
          <w:sz w:val="21"/>
        </w:rPr>
        <w:t>, 814-822.</w:t>
      </w:r>
    </w:p>
    <w:p>
      <w:pPr>
        <w:spacing w:line="360" w:lineRule="auto" w:before="0" w:after="60"/>
        <w:ind w:left="425" w:hanging="425"/>
        <w:jc w:val="both"/>
      </w:pPr>
      <w:r>
        <w:rPr>
          <w:rFonts w:ascii="Times New Roman" w:hAnsi="Times New Roman" w:eastAsia="宋体"/>
          <w:b w:val="0"/>
          <w:i w:val="0"/>
          <w:color w:val="000000"/>
          <w:sz w:val="21"/>
        </w:rPr>
        <w:t xml:space="preserve">Reynvoet, B., &amp; Sasanguie, D. (2016). The symbol grounding problem revisited: A thorough evaluation of the ANS mapping account and the proposal of an alternative account based on symbol-symbol associations. </w:t>
      </w:r>
      <w:r>
        <w:rPr>
          <w:rFonts w:ascii="Times New Roman" w:hAnsi="Times New Roman" w:eastAsia="宋体"/>
          <w:b w:val="0"/>
          <w:i/>
          <w:color w:val="000000"/>
          <w:sz w:val="21"/>
        </w:rPr>
        <w:t>Frontiers in Psychology, 7</w:t>
      </w:r>
      <w:r>
        <w:rPr>
          <w:rFonts w:ascii="Times New Roman" w:hAnsi="Times New Roman" w:eastAsia="宋体"/>
          <w:b w:val="0"/>
          <w:i w:val="0"/>
          <w:color w:val="000000"/>
          <w:sz w:val="21"/>
        </w:rPr>
        <w:t>, 1581.</w:t>
      </w:r>
    </w:p>
    <w:p>
      <w:pPr>
        <w:spacing w:line="360" w:lineRule="auto" w:before="0" w:after="60"/>
        <w:ind w:left="425" w:hanging="425"/>
        <w:jc w:val="both"/>
      </w:pPr>
      <w:r>
        <w:rPr>
          <w:rFonts w:ascii="Times New Roman" w:hAnsi="Times New Roman" w:eastAsia="宋体"/>
          <w:b w:val="0"/>
          <w:i w:val="0"/>
          <w:color w:val="000000"/>
          <w:sz w:val="21"/>
        </w:rPr>
        <w:t xml:space="preserve">Rousselle, L., &amp; Noël, M. P. (2007). Basic numerical skills in children with mathematics learning disabilities: Symbolic vs non-symbolic. </w:t>
      </w:r>
      <w:r>
        <w:rPr>
          <w:rFonts w:ascii="Times New Roman" w:hAnsi="Times New Roman" w:eastAsia="宋体"/>
          <w:b w:val="0"/>
          <w:i/>
          <w:color w:val="000000"/>
          <w:sz w:val="21"/>
        </w:rPr>
        <w:t>Cognition, 102</w:t>
      </w:r>
      <w:r>
        <w:rPr>
          <w:rFonts w:ascii="Times New Roman" w:hAnsi="Times New Roman" w:eastAsia="宋体"/>
          <w:b w:val="0"/>
          <w:i w:val="0"/>
          <w:color w:val="000000"/>
          <w:sz w:val="21"/>
        </w:rPr>
        <w:t>(3), 361-392.</w:t>
      </w:r>
    </w:p>
    <w:p>
      <w:pPr>
        <w:spacing w:line="360" w:lineRule="auto" w:before="0" w:after="60"/>
        <w:ind w:left="425" w:hanging="425"/>
        <w:jc w:val="both"/>
      </w:pPr>
      <w:r>
        <w:rPr>
          <w:rFonts w:ascii="Times New Roman" w:hAnsi="Times New Roman" w:eastAsia="宋体"/>
          <w:b w:val="0"/>
          <w:i w:val="0"/>
          <w:color w:val="000000"/>
          <w:sz w:val="21"/>
        </w:rPr>
        <w:t xml:space="preserve">Schneider, M., et al. (2017). Associations of non-symbolic and symbolic numerical magnitude processing with mathematics competence: A meta-analysis. </w:t>
      </w:r>
      <w:r>
        <w:rPr>
          <w:rFonts w:ascii="Times New Roman" w:hAnsi="Times New Roman" w:eastAsia="宋体"/>
          <w:b w:val="0"/>
          <w:i/>
          <w:color w:val="000000"/>
          <w:sz w:val="21"/>
        </w:rPr>
        <w:t>Developmental Science, 20</w:t>
      </w:r>
      <w:r>
        <w:rPr>
          <w:rFonts w:ascii="Times New Roman" w:hAnsi="Times New Roman" w:eastAsia="宋体"/>
          <w:b w:val="0"/>
          <w:i w:val="0"/>
          <w:color w:val="000000"/>
          <w:sz w:val="21"/>
        </w:rPr>
        <w:t>(3), e12372.</w:t>
      </w:r>
    </w:p>
    <w:p>
      <w:pPr>
        <w:spacing w:line="360" w:lineRule="auto" w:before="0" w:after="60"/>
        <w:ind w:left="425" w:hanging="425"/>
        <w:jc w:val="both"/>
      </w:pPr>
      <w:r>
        <w:rPr>
          <w:rFonts w:ascii="Times New Roman" w:hAnsi="Times New Roman" w:eastAsia="宋体"/>
          <w:b w:val="0"/>
          <w:i w:val="0"/>
          <w:color w:val="000000"/>
          <w:sz w:val="21"/>
        </w:rPr>
        <w:t xml:space="preserve">Schwizer Ashkenazi, S., et al. (2024). Are numerical abilities determined at early age? A brain morphology study in children and adolescents with and without developmental dyscalculia. </w:t>
      </w:r>
      <w:r>
        <w:rPr>
          <w:rFonts w:ascii="Times New Roman" w:hAnsi="Times New Roman" w:eastAsia="宋体"/>
          <w:b w:val="0"/>
          <w:i/>
          <w:color w:val="000000"/>
          <w:sz w:val="21"/>
        </w:rPr>
        <w:t>Developmental Cognitive Neuroscience, 67</w:t>
      </w:r>
      <w:r>
        <w:rPr>
          <w:rFonts w:ascii="Times New Roman" w:hAnsi="Times New Roman" w:eastAsia="宋体"/>
          <w:b w:val="0"/>
          <w:i w:val="0"/>
          <w:color w:val="000000"/>
          <w:sz w:val="21"/>
        </w:rPr>
        <w:t>, 101369.</w:t>
      </w:r>
    </w:p>
    <w:p>
      <w:pPr>
        <w:spacing w:line="360" w:lineRule="auto" w:before="0" w:after="60"/>
        <w:ind w:left="425" w:hanging="425"/>
        <w:jc w:val="both"/>
      </w:pPr>
      <w:r>
        <w:rPr>
          <w:rFonts w:ascii="Times New Roman" w:hAnsi="Times New Roman" w:eastAsia="宋体"/>
          <w:b w:val="0"/>
          <w:i w:val="0"/>
          <w:color w:val="000000"/>
          <w:sz w:val="21"/>
        </w:rPr>
        <w:t xml:space="preserve">Shaki, S., &amp; Fischer, M. H. (2018). Language, culture, and space: Reconstructing spatial-numerical associations. In D. B. Berch et al. (Eds.), </w:t>
      </w:r>
      <w:r>
        <w:rPr>
          <w:rFonts w:ascii="Times New Roman" w:hAnsi="Times New Roman" w:eastAsia="宋体"/>
          <w:b w:val="0"/>
          <w:i/>
          <w:color w:val="000000"/>
          <w:sz w:val="21"/>
        </w:rPr>
        <w:t>Language and culture in mathematical cognition</w:t>
      </w:r>
      <w:r>
        <w:rPr>
          <w:rFonts w:ascii="Times New Roman" w:hAnsi="Times New Roman" w:eastAsia="宋体"/>
          <w:b w:val="0"/>
          <w:i w:val="0"/>
          <w:color w:val="000000"/>
          <w:sz w:val="21"/>
        </w:rPr>
        <w:t xml:space="preserve"> (pp. 257-274). Academic Press.</w:t>
      </w:r>
    </w:p>
    <w:p>
      <w:pPr>
        <w:spacing w:line="360" w:lineRule="auto" w:before="0" w:after="60"/>
        <w:ind w:left="425" w:hanging="425"/>
        <w:jc w:val="both"/>
      </w:pPr>
      <w:r>
        <w:rPr>
          <w:rFonts w:ascii="Times New Roman" w:hAnsi="Times New Roman" w:eastAsia="宋体"/>
          <w:b w:val="0"/>
          <w:i w:val="0"/>
          <w:color w:val="000000"/>
          <w:sz w:val="21"/>
        </w:rPr>
        <w:t xml:space="preserve">Sixtus, E., Lindner, H., Huber, S., &amp; Fischer, M. H. (2023). A sensorimotor perspective on numerical cognition. </w:t>
      </w:r>
      <w:r>
        <w:rPr>
          <w:rFonts w:ascii="Times New Roman" w:hAnsi="Times New Roman" w:eastAsia="宋体"/>
          <w:b w:val="0"/>
          <w:i/>
          <w:color w:val="000000"/>
          <w:sz w:val="21"/>
        </w:rPr>
        <w:t>Trends in Cognitive Sciences, 27</w:t>
      </w:r>
      <w:r>
        <w:rPr>
          <w:rFonts w:ascii="Times New Roman" w:hAnsi="Times New Roman" w:eastAsia="宋体"/>
          <w:b w:val="0"/>
          <w:i w:val="0"/>
          <w:color w:val="000000"/>
          <w:sz w:val="21"/>
        </w:rPr>
        <w:t>(3), 245-257.</w:t>
      </w:r>
    </w:p>
    <w:p>
      <w:pPr>
        <w:spacing w:line="360" w:lineRule="auto" w:before="0" w:after="60"/>
        <w:ind w:left="425" w:hanging="425"/>
        <w:jc w:val="both"/>
      </w:pPr>
      <w:r>
        <w:rPr>
          <w:rFonts w:ascii="Times New Roman" w:hAnsi="Times New Roman" w:eastAsia="宋体"/>
          <w:b w:val="0"/>
          <w:i w:val="0"/>
          <w:color w:val="000000"/>
          <w:sz w:val="21"/>
        </w:rPr>
        <w:t xml:space="preserve">Soylu, F., &amp; Newman, S. D. (2018). You can count on your fingers: The role of fingers in early mathematical development. </w:t>
      </w:r>
      <w:r>
        <w:rPr>
          <w:rFonts w:ascii="Times New Roman" w:hAnsi="Times New Roman" w:eastAsia="宋体"/>
          <w:b w:val="0"/>
          <w:i/>
          <w:color w:val="000000"/>
          <w:sz w:val="21"/>
        </w:rPr>
        <w:t>Journal of Numerical Cognition, 4</w:t>
      </w:r>
      <w:r>
        <w:rPr>
          <w:rFonts w:ascii="Times New Roman" w:hAnsi="Times New Roman" w:eastAsia="宋体"/>
          <w:b w:val="0"/>
          <w:i w:val="0"/>
          <w:color w:val="000000"/>
          <w:sz w:val="21"/>
        </w:rPr>
        <w:t>(1), 83-102.</w:t>
      </w:r>
    </w:p>
    <w:p>
      <w:pPr>
        <w:spacing w:line="360" w:lineRule="auto" w:before="0" w:after="60"/>
        <w:ind w:left="425" w:hanging="425"/>
        <w:jc w:val="both"/>
      </w:pPr>
      <w:r>
        <w:rPr>
          <w:rFonts w:ascii="Times New Roman" w:hAnsi="Times New Roman" w:eastAsia="宋体"/>
          <w:b w:val="0"/>
          <w:i w:val="0"/>
          <w:color w:val="000000"/>
          <w:sz w:val="21"/>
        </w:rPr>
        <w:t xml:space="preserve">Stigler, J. W. (1984). Mental abacus: The effect of abacus training on Chinese children's mental calculation. </w:t>
      </w:r>
      <w:r>
        <w:rPr>
          <w:rFonts w:ascii="Times New Roman" w:hAnsi="Times New Roman" w:eastAsia="宋体"/>
          <w:b w:val="0"/>
          <w:i/>
          <w:color w:val="000000"/>
          <w:sz w:val="21"/>
        </w:rPr>
        <w:t>Cognitive Psychology, 16</w:t>
      </w:r>
      <w:r>
        <w:rPr>
          <w:rFonts w:ascii="Times New Roman" w:hAnsi="Times New Roman" w:eastAsia="宋体"/>
          <w:b w:val="0"/>
          <w:i w:val="0"/>
          <w:color w:val="000000"/>
          <w:sz w:val="21"/>
        </w:rPr>
        <w:t>(2), 145-176.</w:t>
      </w:r>
    </w:p>
    <w:p>
      <w:pPr>
        <w:spacing w:line="360" w:lineRule="auto" w:before="0" w:after="60"/>
        <w:ind w:left="425" w:hanging="425"/>
        <w:jc w:val="both"/>
      </w:pPr>
      <w:r>
        <w:rPr>
          <w:rFonts w:ascii="Times New Roman" w:hAnsi="Times New Roman" w:eastAsia="宋体"/>
          <w:b w:val="0"/>
          <w:i w:val="0"/>
          <w:color w:val="000000"/>
          <w:sz w:val="21"/>
        </w:rPr>
        <w:t xml:space="preserve">Taniguchi, T., et al. (2018). Symbol emergence in cognitive developmental systems: A survey. </w:t>
      </w:r>
      <w:r>
        <w:rPr>
          <w:rFonts w:ascii="Times New Roman" w:hAnsi="Times New Roman" w:eastAsia="宋体"/>
          <w:b w:val="0"/>
          <w:i/>
          <w:color w:val="000000"/>
          <w:sz w:val="21"/>
        </w:rPr>
        <w:t>IEEE Transactions on Cognitive and Developmental Systems, 11</w:t>
      </w:r>
      <w:r>
        <w:rPr>
          <w:rFonts w:ascii="Times New Roman" w:hAnsi="Times New Roman" w:eastAsia="宋体"/>
          <w:b w:val="0"/>
          <w:i w:val="0"/>
          <w:color w:val="000000"/>
          <w:sz w:val="21"/>
        </w:rPr>
        <w:t>(3), 335-353.</w:t>
      </w:r>
    </w:p>
    <w:p>
      <w:pPr>
        <w:spacing w:line="360" w:lineRule="auto" w:before="0" w:after="60"/>
        <w:ind w:left="425" w:hanging="425"/>
        <w:jc w:val="both"/>
      </w:pPr>
      <w:r>
        <w:rPr>
          <w:rFonts w:ascii="Times New Roman" w:hAnsi="Times New Roman" w:eastAsia="宋体"/>
          <w:b w:val="0"/>
          <w:i w:val="0"/>
          <w:color w:val="000000"/>
          <w:sz w:val="21"/>
        </w:rPr>
        <w:t xml:space="preserve">Vanbinst, K., Ghesquiere, P., &amp; De Smedt, B. (2012). Numerical magnitude representations and individual differences in children's arithmetic strategy use. </w:t>
      </w:r>
      <w:r>
        <w:rPr>
          <w:rFonts w:ascii="Times New Roman" w:hAnsi="Times New Roman" w:eastAsia="宋体"/>
          <w:b w:val="0"/>
          <w:i/>
          <w:color w:val="000000"/>
          <w:sz w:val="21"/>
        </w:rPr>
        <w:t>Mind, Brain, and Education, 6</w:t>
      </w:r>
      <w:r>
        <w:rPr>
          <w:rFonts w:ascii="Times New Roman" w:hAnsi="Times New Roman" w:eastAsia="宋体"/>
          <w:b w:val="0"/>
          <w:i w:val="0"/>
          <w:color w:val="000000"/>
          <w:sz w:val="21"/>
        </w:rPr>
        <w:t>(3), 143-151.</w:t>
      </w:r>
    </w:p>
    <w:p>
      <w:pPr>
        <w:spacing w:line="360" w:lineRule="auto" w:before="0" w:after="60"/>
        <w:ind w:left="425" w:hanging="425"/>
        <w:jc w:val="both"/>
      </w:pPr>
      <w:r>
        <w:rPr>
          <w:rFonts w:ascii="Times New Roman" w:hAnsi="Times New Roman" w:eastAsia="宋体"/>
          <w:b w:val="0"/>
          <w:i w:val="0"/>
          <w:color w:val="000000"/>
          <w:sz w:val="21"/>
        </w:rPr>
        <w:t xml:space="preserve">Vogel, S., &amp; De Smedt, B. (2021). Developmental brain dynamics of numerical and arithmetic abilities. </w:t>
      </w:r>
      <w:r>
        <w:rPr>
          <w:rFonts w:ascii="Times New Roman" w:hAnsi="Times New Roman" w:eastAsia="宋体"/>
          <w:b w:val="0"/>
          <w:i/>
          <w:color w:val="000000"/>
          <w:sz w:val="21"/>
        </w:rPr>
        <w:t>npj Science of Learning, 6</w:t>
      </w:r>
      <w:r>
        <w:rPr>
          <w:rFonts w:ascii="Times New Roman" w:hAnsi="Times New Roman" w:eastAsia="宋体"/>
          <w:b w:val="0"/>
          <w:i w:val="0"/>
          <w:color w:val="000000"/>
          <w:sz w:val="21"/>
        </w:rPr>
        <w:t>(1), 1-14.</w:t>
      </w:r>
    </w:p>
    <w:p>
      <w:pPr>
        <w:spacing w:line="360" w:lineRule="auto" w:before="0" w:after="60"/>
        <w:ind w:left="425" w:hanging="425"/>
        <w:jc w:val="both"/>
      </w:pPr>
      <w:r>
        <w:rPr>
          <w:rFonts w:ascii="Times New Roman" w:hAnsi="Times New Roman" w:eastAsia="宋体"/>
          <w:b w:val="0"/>
          <w:i w:val="0"/>
          <w:color w:val="000000"/>
          <w:sz w:val="21"/>
        </w:rPr>
        <w:t xml:space="preserve">von Aster, M. G., &amp; Shalev, R. S. (2007). Number development and developmental dyscalculia. </w:t>
      </w:r>
      <w:r>
        <w:rPr>
          <w:rFonts w:ascii="Times New Roman" w:hAnsi="Times New Roman" w:eastAsia="宋体"/>
          <w:b w:val="0"/>
          <w:i/>
          <w:color w:val="000000"/>
          <w:sz w:val="21"/>
        </w:rPr>
        <w:t>Developmental Medicine &amp; Child Neurology, 49</w:t>
      </w:r>
      <w:r>
        <w:rPr>
          <w:rFonts w:ascii="Times New Roman" w:hAnsi="Times New Roman" w:eastAsia="宋体"/>
          <w:b w:val="0"/>
          <w:i w:val="0"/>
          <w:color w:val="000000"/>
          <w:sz w:val="21"/>
        </w:rPr>
        <w:t>(11), 868-873.</w:t>
      </w:r>
    </w:p>
    <w:p>
      <w:pPr>
        <w:spacing w:line="360" w:lineRule="auto" w:before="0" w:after="60"/>
        <w:ind w:left="425" w:hanging="425"/>
        <w:jc w:val="both"/>
      </w:pPr>
      <w:r>
        <w:rPr>
          <w:rFonts w:ascii="Times New Roman" w:hAnsi="Times New Roman" w:eastAsia="宋体"/>
          <w:b w:val="0"/>
          <w:i w:val="0"/>
          <w:color w:val="000000"/>
          <w:sz w:val="21"/>
        </w:rPr>
        <w:t xml:space="preserve">Wang, Y., Geng, F., Hu, Y., Du, F., &amp; Chen, F. (2013). Numerical processing efficiency improved in experienced mental abacus children. </w:t>
      </w:r>
      <w:r>
        <w:rPr>
          <w:rFonts w:ascii="Times New Roman" w:hAnsi="Times New Roman" w:eastAsia="宋体"/>
          <w:b w:val="0"/>
          <w:i/>
          <w:color w:val="000000"/>
          <w:sz w:val="21"/>
        </w:rPr>
        <w:t>Cognition, 127</w:t>
      </w:r>
      <w:r>
        <w:rPr>
          <w:rFonts w:ascii="Times New Roman" w:hAnsi="Times New Roman" w:eastAsia="宋体"/>
          <w:b w:val="0"/>
          <w:i w:val="0"/>
          <w:color w:val="000000"/>
          <w:sz w:val="21"/>
        </w:rPr>
        <w:t>(2), 149-158.</w:t>
      </w:r>
    </w:p>
    <w:p>
      <w:pPr>
        <w:spacing w:line="360" w:lineRule="auto" w:before="0" w:after="60"/>
        <w:ind w:left="425" w:hanging="425"/>
        <w:jc w:val="both"/>
      </w:pPr>
      <w:r>
        <w:rPr>
          <w:rFonts w:ascii="Times New Roman" w:hAnsi="Times New Roman" w:eastAsia="宋体"/>
          <w:b w:val="0"/>
          <w:i w:val="0"/>
          <w:color w:val="000000"/>
          <w:sz w:val="21"/>
        </w:rPr>
        <w:t xml:space="preserve">Wong, Y. K., &amp; Gauthier, I. (2012). Music-reading expertise alters visual spatial resolution for musical notation. </w:t>
      </w:r>
      <w:r>
        <w:rPr>
          <w:rFonts w:ascii="Times New Roman" w:hAnsi="Times New Roman" w:eastAsia="宋体"/>
          <w:b w:val="0"/>
          <w:i/>
          <w:color w:val="000000"/>
          <w:sz w:val="21"/>
        </w:rPr>
        <w:t>Psychonomic Bulletin &amp; Review, 19</w:t>
      </w:r>
      <w:r>
        <w:rPr>
          <w:rFonts w:ascii="Times New Roman" w:hAnsi="Times New Roman" w:eastAsia="宋体"/>
          <w:b w:val="0"/>
          <w:i w:val="0"/>
          <w:color w:val="000000"/>
          <w:sz w:val="21"/>
        </w:rPr>
        <w:t>(4), 594-600.</w:t>
      </w:r>
    </w:p>
    <w:p>
      <w:pPr>
        <w:spacing w:line="360" w:lineRule="auto" w:before="0" w:after="60"/>
        <w:ind w:left="425" w:hanging="425"/>
        <w:jc w:val="both"/>
      </w:pPr>
      <w:r>
        <w:rPr>
          <w:rFonts w:ascii="Times New Roman" w:hAnsi="Times New Roman" w:eastAsia="宋体"/>
          <w:b w:val="0"/>
          <w:i w:val="0"/>
          <w:color w:val="000000"/>
          <w:sz w:val="21"/>
        </w:rPr>
        <w:t>蔡勇刚. (2016). 不同数量信息与认知控制条件下数学困难儿童 SNARC 效应研究. 心理科学, 39(3), 600-606.</w:t>
      </w:r>
    </w:p>
    <w:p>
      <w:pPr>
        <w:spacing w:line="360" w:lineRule="auto" w:before="0" w:after="60"/>
        <w:ind w:left="425" w:hanging="425"/>
        <w:jc w:val="both"/>
      </w:pPr>
      <w:r>
        <w:rPr>
          <w:rFonts w:ascii="Times New Roman" w:hAnsi="Times New Roman" w:eastAsia="宋体"/>
          <w:b w:val="0"/>
          <w:i w:val="0"/>
          <w:color w:val="000000"/>
          <w:sz w:val="21"/>
        </w:rPr>
        <w:t>葛雪莲, 韩潇, 陈飞燕. (2021). 珠心算训练对数学认知及脑可塑性的影响. 应用心理学, 27(4), 360-370.</w:t>
      </w:r>
    </w:p>
    <w:p>
      <w:pPr>
        <w:spacing w:line="360" w:lineRule="auto" w:before="0" w:after="60"/>
        <w:ind w:left="425" w:hanging="425"/>
        <w:jc w:val="both"/>
      </w:pPr>
      <w:r>
        <w:rPr>
          <w:rFonts w:ascii="Times New Roman" w:hAnsi="Times New Roman" w:eastAsia="宋体"/>
          <w:b w:val="0"/>
          <w:i w:val="0"/>
          <w:color w:val="000000"/>
          <w:sz w:val="21"/>
        </w:rPr>
        <w:t>韩冬, 叶浩生. (2013). 认知的身体依赖性：从符号加工到具身认知. 心理学探新, 33(4), 291-296.</w:t>
      </w:r>
    </w:p>
    <w:p>
      <w:pPr>
        <w:spacing w:line="360" w:lineRule="auto" w:before="0" w:after="60"/>
        <w:ind w:left="425" w:hanging="425"/>
        <w:jc w:val="both"/>
      </w:pPr>
      <w:r>
        <w:rPr>
          <w:rFonts w:ascii="Times New Roman" w:hAnsi="Times New Roman" w:eastAsia="宋体"/>
          <w:b w:val="0"/>
          <w:i w:val="0"/>
          <w:color w:val="000000"/>
          <w:sz w:val="21"/>
        </w:rPr>
        <w:t>王成营. (2012). 数学符号意义及其获得能力培养的研究. 博士学位论文, 华中师范大学.</w:t>
      </w:r>
    </w:p>
    <w:p>
      <w:pPr>
        <w:spacing w:line="360" w:lineRule="auto" w:before="0" w:after="60"/>
        <w:ind w:left="425" w:hanging="425"/>
        <w:jc w:val="both"/>
      </w:pPr>
      <w:r>
        <w:rPr>
          <w:rFonts w:ascii="Times New Roman" w:hAnsi="Times New Roman" w:eastAsia="宋体"/>
          <w:b w:val="0"/>
          <w:i w:val="0"/>
          <w:color w:val="000000"/>
          <w:sz w:val="21"/>
        </w:rPr>
        <w:t>王琦, 李红, 张丽, 陈雪梅. (2011). 数量表征的符号特异性和符号非特异性. 心理科学进展, 19(6), 831-840.</w:t>
      </w:r>
    </w:p>
    <w:p>
      <w:pPr>
        <w:spacing w:line="360" w:lineRule="auto" w:before="0" w:after="60"/>
        <w:ind w:left="425" w:hanging="425"/>
        <w:jc w:val="both"/>
      </w:pPr>
      <w:r>
        <w:rPr>
          <w:rFonts w:ascii="Times New Roman" w:hAnsi="Times New Roman" w:eastAsia="宋体"/>
          <w:b w:val="0"/>
          <w:i w:val="0"/>
          <w:color w:val="000000"/>
          <w:sz w:val="21"/>
        </w:rPr>
        <w:t>叶浩生. (2010). 具身认知：认知心理学的新取向. 心理科学进展, 18(5), 705-710.</w:t>
      </w:r>
    </w:p>
    <w:p>
      <w:pPr>
        <w:spacing w:line="360" w:lineRule="auto" w:before="0" w:after="60"/>
        <w:ind w:left="425" w:hanging="425"/>
        <w:jc w:val="both"/>
      </w:pPr>
      <w:r>
        <w:rPr>
          <w:rFonts w:ascii="Times New Roman" w:hAnsi="Times New Roman" w:eastAsia="宋体"/>
          <w:b w:val="0"/>
          <w:i w:val="0"/>
          <w:color w:val="000000"/>
          <w:sz w:val="21"/>
        </w:rPr>
        <w:t>叶浩生. (2011). 有关具身认知思潮的理论心理学思考. 心理学报, 43(5), 589-598.</w:t>
      </w:r>
    </w:p>
    <w:p>
      <w:pPr>
        <w:spacing w:line="360" w:lineRule="auto" w:before="0" w:after="60"/>
        <w:ind w:left="425" w:hanging="425"/>
        <w:jc w:val="both"/>
      </w:pPr>
      <w:r>
        <w:rPr>
          <w:rFonts w:ascii="Times New Roman" w:hAnsi="Times New Roman" w:eastAsia="宋体"/>
          <w:b w:val="0"/>
          <w:i w:val="0"/>
          <w:color w:val="000000"/>
          <w:sz w:val="21"/>
        </w:rPr>
        <w:t>张丽, 蒋慧, 赵立. (2018). 发展性计算障碍儿童的数量转换缺陷. 心理科学, 41(3), 576-582.</w:t>
      </w:r>
    </w:p>
    <w:p>
      <w:pPr>
        <w:spacing w:line="360" w:lineRule="auto" w:before="0" w:after="60"/>
        <w:ind w:left="425" w:hanging="425"/>
        <w:jc w:val="both"/>
      </w:pPr>
      <w:r>
        <w:rPr>
          <w:rFonts w:ascii="Times New Roman" w:hAnsi="Times New Roman" w:eastAsia="宋体"/>
          <w:b w:val="0"/>
          <w:i w:val="0"/>
          <w:color w:val="000000"/>
          <w:sz w:val="21"/>
        </w:rPr>
        <w:t>赵晖, 路浩, 张树东. (2013). 发展性计算障碍的最新研究进展. 心理发展与教育, 29(4), 436-444.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