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广泛性焦虑量表（GAD-7）计分与结果解释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一、计分方法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总分：7 个项目得分之和，范围 0–21 分。无反向计分题。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二、结果解释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分数范围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解释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0 – 4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无焦虑症状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 – 9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轻度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 – 14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中度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15 – 21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重度</w:t>
            </w:r>
          </w:p>
        </w:tc>
      </w:tr>
    </w:tbl>
    <w:p>
      <w:r>
        <w:rPr>
          <w:rFonts w:ascii="Times New Roman" w:hAnsi="Times New Roman" w:eastAsia="宋体"/>
          <w:b w:val="0"/>
          <w:color w:val="1F2D33"/>
          <w:sz w:val="22"/>
        </w:rPr>
        <w:t>以 10 分为切点筛查广泛性焦虑障碍，灵敏度 89%、特异度 82%（Spitzer et al., 2006）。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三、信效度与常模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中文版信效度良好（何筱衍等，2010，综合医院门诊样本）。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GAD-7 可免费使用，无需授权；各语言版本可在官方网站 phqscreeners.com 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四、使用注意事项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量表版权归原编制者/出版方所有，本资料包仅供教学、科研与非商业心理健康服务使用，使用时请注明出处。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