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大学生人格问卷（UPI）计分与结果解释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1. 第 5、20、35、50 题为测谎题（健康尺度），不计入总分。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2. 其余 56 题：选「是」计 1 分，选「否」计 0 分；总分范围 0–56 分。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3. 若测谎题作答与其余题目明显矛盾（如大量圈选症状项目同时又圈选全部健康项目），提示未如实作答，结果慎用。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第一类：总分 ≥ 25；或第 25 题（想轻生）选「是」；或附加题中至少两题选「是」；或明确提出咨询要求且确有心理问题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可能有较明显心理问题，需重点关注、尽快约谈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第二类：总分 20–24（含 20，不含 25）；或第 8、16、26 题中有一题选「是」；或附加题中有一题选「是」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可能有心理问题，应引起关注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第三类：其余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一般人群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分类标准为国内高校普遍采用的筛选标准，各校可结合实际调整。对第 25 题选「是」者应单独筛出并优先跟进。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UPI 由日本大学心理咨询员与精神科医生于 1966 年集体编制，1991 年引入我国，1993 年樊富珉等主持修订。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现为国内高校新生心理健康普查最常用的工具之一，已被证明具有较好的信度和效度（见相关文献）。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